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A16" w:rsidRDefault="00B67A16" w:rsidP="00B67A16">
      <w:pPr>
        <w:pStyle w:val="1"/>
        <w:keepNext w:val="0"/>
        <w:widowControl w:val="0"/>
        <w:spacing w:before="468" w:after="468"/>
        <w:rPr>
          <w:color w:val="auto"/>
        </w:rPr>
      </w:pPr>
      <w:bookmarkStart w:id="0" w:name="_Toc144800722"/>
      <w:r>
        <w:rPr>
          <w:color w:val="auto"/>
        </w:rPr>
        <w:t>上海海洋大学研究生课程管理规定</w:t>
      </w:r>
      <w:bookmarkEnd w:id="0"/>
    </w:p>
    <w:p w:rsidR="00B67A16" w:rsidRDefault="00B67A16" w:rsidP="00B67A16">
      <w:pPr>
        <w:pStyle w:val="2"/>
        <w:spacing w:before="312" w:after="156"/>
      </w:pPr>
      <w:r>
        <w:t>第一章</w:t>
      </w:r>
      <w:r>
        <w:t xml:space="preserve">  </w:t>
      </w:r>
      <w:r>
        <w:t>总则</w:t>
      </w:r>
    </w:p>
    <w:p w:rsidR="00B67A16" w:rsidRDefault="00B67A16" w:rsidP="00B67A16">
      <w:pPr>
        <w:topLinePunct/>
        <w:adjustRightInd w:val="0"/>
        <w:snapToGrid w:val="0"/>
        <w:spacing w:line="288" w:lineRule="auto"/>
        <w:ind w:firstLineChars="200" w:firstLine="420"/>
        <w:rPr>
          <w:szCs w:val="21"/>
        </w:rPr>
      </w:pPr>
      <w:r>
        <w:rPr>
          <w:rFonts w:eastAsia="黑体"/>
          <w:szCs w:val="21"/>
        </w:rPr>
        <w:t>第一条</w:t>
      </w:r>
      <w:r>
        <w:rPr>
          <w:rFonts w:eastAsia="黑体"/>
          <w:szCs w:val="21"/>
        </w:rPr>
        <w:t xml:space="preserve">  </w:t>
      </w:r>
      <w:r>
        <w:rPr>
          <w:szCs w:val="21"/>
        </w:rPr>
        <w:t>为贯彻落实全国研究生教育会议精神和《教育部关于改进和加强研究生课程建设的意见》（教研〔</w:t>
      </w:r>
      <w:r>
        <w:rPr>
          <w:szCs w:val="21"/>
        </w:rPr>
        <w:t>2014</w:t>
      </w:r>
      <w:r>
        <w:rPr>
          <w:szCs w:val="21"/>
        </w:rPr>
        <w:t>〕</w:t>
      </w:r>
      <w:r>
        <w:rPr>
          <w:szCs w:val="21"/>
        </w:rPr>
        <w:t>5</w:t>
      </w:r>
      <w:r>
        <w:rPr>
          <w:szCs w:val="21"/>
        </w:rPr>
        <w:t>号）等文件要求，结合我校实际，制定本规定。</w:t>
      </w:r>
    </w:p>
    <w:p w:rsidR="00B67A16" w:rsidRDefault="00B67A16" w:rsidP="00B67A16">
      <w:pPr>
        <w:topLinePunct/>
        <w:adjustRightInd w:val="0"/>
        <w:snapToGrid w:val="0"/>
        <w:spacing w:line="288" w:lineRule="auto"/>
        <w:ind w:firstLineChars="200" w:firstLine="420"/>
        <w:rPr>
          <w:szCs w:val="21"/>
        </w:rPr>
      </w:pPr>
      <w:r>
        <w:rPr>
          <w:rFonts w:eastAsia="黑体"/>
          <w:szCs w:val="21"/>
        </w:rPr>
        <w:t>第二条</w:t>
      </w:r>
      <w:r>
        <w:rPr>
          <w:rFonts w:eastAsia="黑体"/>
          <w:szCs w:val="21"/>
        </w:rPr>
        <w:t xml:space="preserve">  </w:t>
      </w:r>
      <w:r>
        <w:rPr>
          <w:szCs w:val="21"/>
        </w:rPr>
        <w:t>研究生教学要坚持以立德树人为根本，必须将育人意识贯穿于教学全过程，培育和</w:t>
      </w:r>
      <w:proofErr w:type="gramStart"/>
      <w:r>
        <w:rPr>
          <w:szCs w:val="21"/>
        </w:rPr>
        <w:t>践行</w:t>
      </w:r>
      <w:proofErr w:type="gramEnd"/>
      <w:r>
        <w:rPr>
          <w:szCs w:val="21"/>
        </w:rPr>
        <w:t>社会主义核心价值观，培养研究生的社会责任感、科学精神、创新能力和实践能力。</w:t>
      </w:r>
    </w:p>
    <w:p w:rsidR="00B67A16" w:rsidRDefault="00B67A16" w:rsidP="00B67A16">
      <w:pPr>
        <w:pStyle w:val="2"/>
        <w:spacing w:before="312" w:after="156"/>
      </w:pPr>
      <w:r>
        <w:t>第二章</w:t>
      </w:r>
      <w:r>
        <w:t xml:space="preserve">  </w:t>
      </w:r>
      <w:r>
        <w:t>课程设置与管理</w:t>
      </w:r>
    </w:p>
    <w:p w:rsidR="00B67A16" w:rsidRDefault="00B67A16" w:rsidP="00B67A16">
      <w:pPr>
        <w:topLinePunct/>
        <w:adjustRightInd w:val="0"/>
        <w:snapToGrid w:val="0"/>
        <w:spacing w:line="288" w:lineRule="auto"/>
        <w:ind w:firstLineChars="200" w:firstLine="420"/>
        <w:rPr>
          <w:szCs w:val="21"/>
        </w:rPr>
      </w:pPr>
      <w:r>
        <w:rPr>
          <w:rFonts w:eastAsia="黑体"/>
          <w:szCs w:val="21"/>
        </w:rPr>
        <w:t>第三条</w:t>
      </w:r>
      <w:r>
        <w:rPr>
          <w:rFonts w:eastAsia="黑体"/>
          <w:szCs w:val="21"/>
        </w:rPr>
        <w:t xml:space="preserve">  </w:t>
      </w:r>
      <w:r>
        <w:rPr>
          <w:szCs w:val="21"/>
        </w:rPr>
        <w:t>研究生的课程设置应以实现研究生培养方案确定的培养目标为依据。研究生的课程设置要体现本学科研究生应具有的基础理论和专门知识，要着眼于现代化建设对高层次人才培养的要求和培养高质量研究生的需要。在制定研究生培养方案时，要加强课程体系建设与改革，加强课程体系的整体优化与整合，明确所设课程的教学目的和要求，并据此编写相应的课程说明（见附件）。</w:t>
      </w:r>
    </w:p>
    <w:p w:rsidR="00B67A16" w:rsidRDefault="00B67A16" w:rsidP="00B67A16">
      <w:pPr>
        <w:topLinePunct/>
        <w:adjustRightInd w:val="0"/>
        <w:snapToGrid w:val="0"/>
        <w:spacing w:line="288" w:lineRule="auto"/>
        <w:ind w:firstLineChars="200" w:firstLine="420"/>
        <w:rPr>
          <w:szCs w:val="21"/>
        </w:rPr>
      </w:pPr>
      <w:r>
        <w:rPr>
          <w:rFonts w:eastAsia="黑体"/>
          <w:szCs w:val="21"/>
        </w:rPr>
        <w:t>第四条</w:t>
      </w:r>
      <w:r>
        <w:rPr>
          <w:rFonts w:eastAsia="黑体"/>
          <w:szCs w:val="21"/>
        </w:rPr>
        <w:t xml:space="preserve">  </w:t>
      </w:r>
      <w:r>
        <w:rPr>
          <w:szCs w:val="21"/>
        </w:rPr>
        <w:t>研究生课程说明应对各门课程的教学内容、适用对象及教学要求做出明确的规定，使各门课程在加深和拓宽研究生理论基础和学科知识面及相关能力培养等方面，既有分工、有所侧重，又相互补充、相互配合。研究生的课程内容应能反映学科最新成果和发展前沿。</w:t>
      </w:r>
    </w:p>
    <w:p w:rsidR="00B67A16" w:rsidRDefault="00B67A16" w:rsidP="00B67A16">
      <w:pPr>
        <w:topLinePunct/>
        <w:adjustRightInd w:val="0"/>
        <w:snapToGrid w:val="0"/>
        <w:spacing w:line="288" w:lineRule="auto"/>
        <w:ind w:firstLineChars="200" w:firstLine="420"/>
        <w:rPr>
          <w:szCs w:val="21"/>
        </w:rPr>
      </w:pPr>
      <w:r>
        <w:rPr>
          <w:rFonts w:eastAsia="黑体"/>
          <w:szCs w:val="21"/>
        </w:rPr>
        <w:t>第五条</w:t>
      </w:r>
      <w:r>
        <w:rPr>
          <w:rFonts w:eastAsia="黑体"/>
          <w:szCs w:val="21"/>
        </w:rPr>
        <w:t xml:space="preserve">  </w:t>
      </w:r>
      <w:r>
        <w:rPr>
          <w:szCs w:val="21"/>
        </w:rPr>
        <w:t>新增设研究生课程需符合我校研究生课程设置基本原则，由主讲教师或相关学科填写</w:t>
      </w:r>
      <w:r>
        <w:rPr>
          <w:rFonts w:ascii="宋体" w:hAnsi="宋体"/>
          <w:szCs w:val="21"/>
        </w:rPr>
        <w:t>“</w:t>
      </w:r>
      <w:r>
        <w:rPr>
          <w:szCs w:val="21"/>
        </w:rPr>
        <w:t>研究生新开课程审批表</w:t>
      </w:r>
      <w:r>
        <w:rPr>
          <w:rFonts w:ascii="宋体" w:hAnsi="宋体"/>
          <w:szCs w:val="21"/>
        </w:rPr>
        <w:t>”</w:t>
      </w:r>
      <w:r>
        <w:rPr>
          <w:szCs w:val="21"/>
        </w:rPr>
        <w:t>，编写课程说明及课程计划，向所在学院研究生管理部门提交申请，经学院学位</w:t>
      </w:r>
      <w:proofErr w:type="gramStart"/>
      <w:r>
        <w:rPr>
          <w:szCs w:val="21"/>
        </w:rPr>
        <w:t>评定分</w:t>
      </w:r>
      <w:proofErr w:type="gramEnd"/>
      <w:r>
        <w:rPr>
          <w:szCs w:val="21"/>
        </w:rPr>
        <w:t>委员会审查通过，报研究生院备案。</w:t>
      </w:r>
    </w:p>
    <w:p w:rsidR="00B67A16" w:rsidRDefault="00B67A16" w:rsidP="00B67A16">
      <w:pPr>
        <w:topLinePunct/>
        <w:adjustRightInd w:val="0"/>
        <w:snapToGrid w:val="0"/>
        <w:spacing w:line="288" w:lineRule="auto"/>
        <w:ind w:firstLineChars="200" w:firstLine="420"/>
        <w:rPr>
          <w:szCs w:val="21"/>
        </w:rPr>
      </w:pPr>
      <w:r>
        <w:rPr>
          <w:rFonts w:eastAsia="黑体"/>
          <w:szCs w:val="21"/>
        </w:rPr>
        <w:t>第六条</w:t>
      </w:r>
      <w:r>
        <w:rPr>
          <w:rFonts w:eastAsia="黑体"/>
          <w:szCs w:val="21"/>
        </w:rPr>
        <w:t xml:space="preserve">  </w:t>
      </w:r>
      <w:r>
        <w:rPr>
          <w:szCs w:val="21"/>
        </w:rPr>
        <w:t>凡连续三年不能开出的课程，将从研究生培养方案中取消，以后若需重新开设按新开课程序办理。</w:t>
      </w:r>
    </w:p>
    <w:p w:rsidR="00B67A16" w:rsidRDefault="00B67A16" w:rsidP="00B67A16">
      <w:pPr>
        <w:pStyle w:val="2"/>
        <w:spacing w:before="312" w:after="156"/>
      </w:pPr>
      <w:r>
        <w:t>第三</w:t>
      </w:r>
      <w:r>
        <w:rPr>
          <w:bCs/>
        </w:rPr>
        <w:t>章</w:t>
      </w:r>
      <w:r>
        <w:rPr>
          <w:bCs/>
        </w:rPr>
        <w:t xml:space="preserve">  </w:t>
      </w:r>
      <w:r>
        <w:t>任课教师管理</w:t>
      </w:r>
    </w:p>
    <w:p w:rsidR="00B67A16" w:rsidRDefault="00B67A16" w:rsidP="00B67A16">
      <w:pPr>
        <w:topLinePunct/>
        <w:adjustRightInd w:val="0"/>
        <w:snapToGrid w:val="0"/>
        <w:spacing w:line="288" w:lineRule="auto"/>
        <w:ind w:firstLineChars="200" w:firstLine="420"/>
        <w:rPr>
          <w:kern w:val="0"/>
          <w:szCs w:val="21"/>
        </w:rPr>
      </w:pPr>
      <w:r>
        <w:rPr>
          <w:rFonts w:eastAsia="黑体"/>
          <w:szCs w:val="21"/>
        </w:rPr>
        <w:t>第七条</w:t>
      </w:r>
      <w:r>
        <w:rPr>
          <w:rFonts w:eastAsia="黑体"/>
          <w:szCs w:val="21"/>
        </w:rPr>
        <w:t xml:space="preserve">  </w:t>
      </w:r>
      <w:r>
        <w:rPr>
          <w:kern w:val="0"/>
          <w:szCs w:val="21"/>
        </w:rPr>
        <w:t>承担博士研究生学位课的教师，应具有教授（或相当）职务，或是具有博士学位的副教授并在相关领域内进行教学、科研四年以上；承担硕士研究生学位课或博士研究生选修课的教师，应具有副教授以上（或相当）高级职务，或是具有博士学位的讲师并在相关领域内进行教学、科研一年以上；承担硕士研究生选修课的教师，应具有博士学位，或具有讲师以上（或相当）职务并在相关领域内进行教学、科研四年以上。</w:t>
      </w:r>
    </w:p>
    <w:p w:rsidR="00B67A16" w:rsidRDefault="00B67A16" w:rsidP="00B67A16">
      <w:pPr>
        <w:topLinePunct/>
        <w:adjustRightInd w:val="0"/>
        <w:snapToGrid w:val="0"/>
        <w:spacing w:line="288" w:lineRule="auto"/>
        <w:ind w:firstLineChars="200" w:firstLine="420"/>
        <w:rPr>
          <w:kern w:val="0"/>
          <w:szCs w:val="21"/>
        </w:rPr>
      </w:pPr>
      <w:r>
        <w:rPr>
          <w:rFonts w:eastAsia="黑体"/>
          <w:szCs w:val="21"/>
        </w:rPr>
        <w:t>第八条</w:t>
      </w:r>
      <w:r>
        <w:rPr>
          <w:rFonts w:eastAsia="黑体"/>
          <w:szCs w:val="21"/>
        </w:rPr>
        <w:t xml:space="preserve">  </w:t>
      </w:r>
      <w:r>
        <w:rPr>
          <w:kern w:val="0"/>
          <w:szCs w:val="21"/>
        </w:rPr>
        <w:t>任课教师应在开课前公布教学计划、考核方式、评分标准等。任课教师必须按教学计划进行教学。为保证教学计划的严肃性，凡列入开课计划的课程必须按时开课，任课教师不能随意停开或更改开课时间。为保证课程的完整性和连续性，任课老师确因特殊原因不能上课时，应办理书面请假手续，妥善安排好课程和选课学生，并经开课学院批准。两周以上要由学院报研究生院审批。</w:t>
      </w:r>
    </w:p>
    <w:p w:rsidR="00B67A16" w:rsidRDefault="00B67A16" w:rsidP="00B67A16">
      <w:pPr>
        <w:topLinePunct/>
        <w:adjustRightInd w:val="0"/>
        <w:snapToGrid w:val="0"/>
        <w:spacing w:line="288" w:lineRule="auto"/>
        <w:ind w:firstLineChars="200" w:firstLine="420"/>
        <w:rPr>
          <w:kern w:val="0"/>
          <w:szCs w:val="21"/>
        </w:rPr>
      </w:pPr>
      <w:r>
        <w:rPr>
          <w:rFonts w:eastAsia="黑体"/>
          <w:szCs w:val="21"/>
        </w:rPr>
        <w:t>第九条</w:t>
      </w:r>
      <w:r>
        <w:rPr>
          <w:rFonts w:eastAsia="黑体"/>
          <w:szCs w:val="21"/>
        </w:rPr>
        <w:t xml:space="preserve">  </w:t>
      </w:r>
      <w:r>
        <w:rPr>
          <w:kern w:val="0"/>
          <w:szCs w:val="21"/>
        </w:rPr>
        <w:t>任课教师应遵守党的路线方针政策，在授课过程中应充分发挥教书育人作用，结合课程内容，体现伦理道德、学术规范、学术诚信教育、人文或科学素养等方面内容，应遵章守纪，恪守教师职业道德，弘扬正气，坚持社会主义核心价值观。</w:t>
      </w:r>
    </w:p>
    <w:p w:rsidR="00B67A16" w:rsidRDefault="00B67A16" w:rsidP="00B67A16">
      <w:pPr>
        <w:topLinePunct/>
        <w:adjustRightInd w:val="0"/>
        <w:snapToGrid w:val="0"/>
        <w:spacing w:line="288" w:lineRule="auto"/>
        <w:ind w:firstLineChars="200" w:firstLine="420"/>
        <w:rPr>
          <w:kern w:val="0"/>
          <w:szCs w:val="21"/>
        </w:rPr>
      </w:pPr>
      <w:r>
        <w:rPr>
          <w:rFonts w:eastAsia="黑体"/>
          <w:szCs w:val="21"/>
        </w:rPr>
        <w:lastRenderedPageBreak/>
        <w:t>第十条</w:t>
      </w:r>
      <w:r>
        <w:rPr>
          <w:rFonts w:eastAsia="黑体"/>
          <w:szCs w:val="21"/>
        </w:rPr>
        <w:t xml:space="preserve">  </w:t>
      </w:r>
      <w:r>
        <w:rPr>
          <w:kern w:val="0"/>
          <w:szCs w:val="21"/>
        </w:rPr>
        <w:t>任课教师在教学活动中如有违反中华人民共和国宪法的言论、违背党的路线方针政策的言行、宣扬有悖社会公德的思想，或因任课教师责任造成教学秩序混乱、教学质量低下等情况，研究生院将参照学校有关文件按教学事故报人事处处理。</w:t>
      </w:r>
    </w:p>
    <w:p w:rsidR="00B67A16" w:rsidRDefault="00B67A16" w:rsidP="00B67A16">
      <w:pPr>
        <w:pStyle w:val="2"/>
        <w:spacing w:before="312" w:after="156"/>
      </w:pPr>
      <w:r>
        <w:t>第四</w:t>
      </w:r>
      <w:r>
        <w:rPr>
          <w:bCs/>
        </w:rPr>
        <w:t>章</w:t>
      </w:r>
      <w:r>
        <w:rPr>
          <w:bCs/>
        </w:rPr>
        <w:t xml:space="preserve">  </w:t>
      </w:r>
      <w:r>
        <w:t>教学组织管理</w:t>
      </w:r>
    </w:p>
    <w:p w:rsidR="00B67A16" w:rsidRDefault="00B67A16" w:rsidP="00B67A16">
      <w:pPr>
        <w:topLinePunct/>
        <w:adjustRightInd w:val="0"/>
        <w:snapToGrid w:val="0"/>
        <w:spacing w:line="288" w:lineRule="auto"/>
        <w:ind w:firstLineChars="200" w:firstLine="420"/>
        <w:rPr>
          <w:szCs w:val="21"/>
        </w:rPr>
      </w:pPr>
      <w:r>
        <w:rPr>
          <w:rFonts w:eastAsia="黑体"/>
          <w:szCs w:val="21"/>
        </w:rPr>
        <w:t>第十一条</w:t>
      </w:r>
      <w:r>
        <w:rPr>
          <w:rFonts w:eastAsia="黑体"/>
          <w:szCs w:val="21"/>
        </w:rPr>
        <w:t xml:space="preserve">  </w:t>
      </w:r>
      <w:r>
        <w:rPr>
          <w:szCs w:val="21"/>
        </w:rPr>
        <w:t>研究生院和各学院分别承担全校性研究生公共课和专业课的课程安排。学校每学年集中两次安排研究生课程，分别在每学年夏学期、冬学期结束前一个月内，安排秋冬学期、春夏学期的研究生课程。</w:t>
      </w:r>
    </w:p>
    <w:p w:rsidR="00B67A16" w:rsidRDefault="00B67A16" w:rsidP="00B67A16">
      <w:pPr>
        <w:topLinePunct/>
        <w:adjustRightInd w:val="0"/>
        <w:snapToGrid w:val="0"/>
        <w:spacing w:line="288" w:lineRule="auto"/>
        <w:ind w:firstLineChars="200" w:firstLine="420"/>
        <w:rPr>
          <w:szCs w:val="21"/>
        </w:rPr>
      </w:pPr>
      <w:r>
        <w:rPr>
          <w:rFonts w:eastAsia="黑体"/>
          <w:szCs w:val="21"/>
        </w:rPr>
        <w:t>第十二条</w:t>
      </w:r>
      <w:r>
        <w:rPr>
          <w:rFonts w:eastAsia="黑体"/>
          <w:szCs w:val="21"/>
        </w:rPr>
        <w:t xml:space="preserve">  </w:t>
      </w:r>
      <w:r>
        <w:rPr>
          <w:szCs w:val="21"/>
        </w:rPr>
        <w:t>研究生院和各学院（系）根据研究生培养方案的课程设置要求分别制订开课计划，下达教学任务。课程安排要求确定任课教师及上课时间、地点、容量、语言等要素。课程安排应通过研究生教育管理信息系统完成，并于每学年夏学期、冬学期结束前一周内在系统中公布课程安排结果。课程一经排定，原则上不能更改，并严格执行，以保证课程教学秩序。</w:t>
      </w:r>
    </w:p>
    <w:p w:rsidR="00B67A16" w:rsidRDefault="00B67A16" w:rsidP="00B67A16">
      <w:pPr>
        <w:topLinePunct/>
        <w:adjustRightInd w:val="0"/>
        <w:snapToGrid w:val="0"/>
        <w:spacing w:line="288" w:lineRule="auto"/>
        <w:ind w:firstLineChars="200" w:firstLine="420"/>
        <w:rPr>
          <w:szCs w:val="21"/>
        </w:rPr>
      </w:pPr>
      <w:r>
        <w:rPr>
          <w:rFonts w:eastAsia="黑体"/>
          <w:szCs w:val="21"/>
        </w:rPr>
        <w:t>第十三条</w:t>
      </w:r>
      <w:r>
        <w:rPr>
          <w:rFonts w:eastAsia="黑体"/>
          <w:szCs w:val="21"/>
        </w:rPr>
        <w:t xml:space="preserve">  </w:t>
      </w:r>
      <w:r>
        <w:rPr>
          <w:szCs w:val="21"/>
        </w:rPr>
        <w:t>为有效利用教学资源，选课人数低于</w:t>
      </w:r>
      <w:r>
        <w:rPr>
          <w:szCs w:val="21"/>
        </w:rPr>
        <w:t>10</w:t>
      </w:r>
      <w:r>
        <w:rPr>
          <w:szCs w:val="21"/>
        </w:rPr>
        <w:t>人的公共课教学班、低于</w:t>
      </w:r>
      <w:r>
        <w:rPr>
          <w:szCs w:val="21"/>
        </w:rPr>
        <w:t>3</w:t>
      </w:r>
      <w:r>
        <w:rPr>
          <w:szCs w:val="21"/>
        </w:rPr>
        <w:t>人的其它课程教学班原则上应取消开班，选课学生可并入其他教学班或下一学期</w:t>
      </w:r>
      <w:r>
        <w:rPr>
          <w:szCs w:val="21"/>
        </w:rPr>
        <w:t>/</w:t>
      </w:r>
      <w:r>
        <w:rPr>
          <w:szCs w:val="21"/>
        </w:rPr>
        <w:t>学年再行修读。确有需要的，报研究生院审批。排课时，同一门课同一个教学班一次排课一般不超过</w:t>
      </w:r>
      <w:r>
        <w:rPr>
          <w:szCs w:val="21"/>
        </w:rPr>
        <w:t>3</w:t>
      </w:r>
      <w:r>
        <w:rPr>
          <w:szCs w:val="21"/>
        </w:rPr>
        <w:t>小时，特殊课程须报研究生院审核备案。</w:t>
      </w:r>
    </w:p>
    <w:p w:rsidR="00B67A16" w:rsidRDefault="00B67A16" w:rsidP="00B67A16">
      <w:pPr>
        <w:pStyle w:val="2"/>
        <w:spacing w:before="312" w:after="156"/>
      </w:pPr>
      <w:r>
        <w:t>第五</w:t>
      </w:r>
      <w:r>
        <w:rPr>
          <w:bCs/>
        </w:rPr>
        <w:t>章</w:t>
      </w:r>
      <w:r>
        <w:rPr>
          <w:bCs/>
        </w:rPr>
        <w:t xml:space="preserve">  </w:t>
      </w:r>
      <w:r>
        <w:t>选课管理</w:t>
      </w:r>
    </w:p>
    <w:p w:rsidR="00B67A16" w:rsidRDefault="00B67A16" w:rsidP="00B67A16">
      <w:pPr>
        <w:topLinePunct/>
        <w:adjustRightInd w:val="0"/>
        <w:snapToGrid w:val="0"/>
        <w:spacing w:line="288" w:lineRule="auto"/>
        <w:ind w:firstLineChars="200" w:firstLine="420"/>
        <w:rPr>
          <w:szCs w:val="21"/>
        </w:rPr>
      </w:pPr>
      <w:r>
        <w:rPr>
          <w:rFonts w:eastAsia="黑体"/>
          <w:szCs w:val="21"/>
        </w:rPr>
        <w:t>第十四条</w:t>
      </w:r>
      <w:r>
        <w:rPr>
          <w:rFonts w:eastAsia="黑体"/>
          <w:szCs w:val="21"/>
        </w:rPr>
        <w:t xml:space="preserve">  </w:t>
      </w:r>
      <w:r>
        <w:rPr>
          <w:szCs w:val="21"/>
        </w:rPr>
        <w:t>研究生入学后应在导师的指导下，在规定的时间内完成个人培养计划的编制。并依据本人培养计划，在研究生院规定的时间内登录</w:t>
      </w:r>
      <w:r>
        <w:rPr>
          <w:rFonts w:ascii="宋体" w:hAnsi="宋体"/>
          <w:szCs w:val="21"/>
        </w:rPr>
        <w:t>“</w:t>
      </w:r>
      <w:r>
        <w:rPr>
          <w:szCs w:val="21"/>
        </w:rPr>
        <w:t>研究生管理信息系统</w:t>
      </w:r>
      <w:r>
        <w:rPr>
          <w:rFonts w:ascii="宋体" w:hAnsi="宋体"/>
          <w:szCs w:val="21"/>
        </w:rPr>
        <w:t>”</w:t>
      </w:r>
      <w:r>
        <w:rPr>
          <w:szCs w:val="21"/>
        </w:rPr>
        <w:t>完成网上选课。</w:t>
      </w:r>
    </w:p>
    <w:p w:rsidR="00B67A16" w:rsidRDefault="00B67A16" w:rsidP="00B67A16">
      <w:pPr>
        <w:topLinePunct/>
        <w:adjustRightInd w:val="0"/>
        <w:snapToGrid w:val="0"/>
        <w:spacing w:line="288" w:lineRule="auto"/>
        <w:ind w:firstLineChars="200" w:firstLine="420"/>
        <w:rPr>
          <w:szCs w:val="21"/>
        </w:rPr>
      </w:pPr>
      <w:r>
        <w:rPr>
          <w:rFonts w:eastAsia="黑体"/>
          <w:szCs w:val="21"/>
        </w:rPr>
        <w:t>第十五条</w:t>
      </w:r>
      <w:r>
        <w:rPr>
          <w:rFonts w:eastAsia="黑体"/>
          <w:szCs w:val="21"/>
        </w:rPr>
        <w:t xml:space="preserve">  </w:t>
      </w:r>
      <w:r>
        <w:rPr>
          <w:szCs w:val="21"/>
        </w:rPr>
        <w:t>在选课结束后，不得随意变更已选课程。确因特殊原因需变更的，由研究生本人书面申请，由导师与任课教师签字确认，经学院审核后报研究生院批准方可变更。</w:t>
      </w:r>
    </w:p>
    <w:p w:rsidR="00B67A16" w:rsidRDefault="00B67A16" w:rsidP="00B67A16">
      <w:pPr>
        <w:topLinePunct/>
        <w:adjustRightInd w:val="0"/>
        <w:snapToGrid w:val="0"/>
        <w:spacing w:line="288" w:lineRule="auto"/>
        <w:ind w:firstLineChars="200" w:firstLine="420"/>
        <w:rPr>
          <w:szCs w:val="21"/>
        </w:rPr>
      </w:pPr>
      <w:r>
        <w:rPr>
          <w:rFonts w:eastAsia="黑体"/>
          <w:szCs w:val="21"/>
        </w:rPr>
        <w:t>第十六条</w:t>
      </w:r>
      <w:r>
        <w:rPr>
          <w:rFonts w:eastAsia="黑体"/>
          <w:szCs w:val="21"/>
        </w:rPr>
        <w:t xml:space="preserve">  </w:t>
      </w:r>
      <w:r>
        <w:rPr>
          <w:szCs w:val="21"/>
        </w:rPr>
        <w:t>研究生必须严格遵守所选课程的各项教学规定，认真参加课程的各个教学环节，经课程考核合格者，获得该课程的学分。无故不参加考核者，按</w:t>
      </w:r>
      <w:proofErr w:type="gramStart"/>
      <w:r>
        <w:rPr>
          <w:szCs w:val="21"/>
        </w:rPr>
        <w:t>旷</w:t>
      </w:r>
      <w:proofErr w:type="gramEnd"/>
      <w:r>
        <w:rPr>
          <w:szCs w:val="21"/>
        </w:rPr>
        <w:t>考处理，成绩按零分记载。</w:t>
      </w:r>
    </w:p>
    <w:p w:rsidR="00B67A16" w:rsidRDefault="00B67A16" w:rsidP="00B67A16">
      <w:pPr>
        <w:topLinePunct/>
        <w:adjustRightInd w:val="0"/>
        <w:snapToGrid w:val="0"/>
        <w:spacing w:line="288" w:lineRule="auto"/>
        <w:ind w:firstLineChars="200" w:firstLine="420"/>
        <w:rPr>
          <w:szCs w:val="21"/>
        </w:rPr>
      </w:pPr>
      <w:r>
        <w:rPr>
          <w:rFonts w:eastAsia="黑体"/>
          <w:szCs w:val="21"/>
        </w:rPr>
        <w:t>第十七条</w:t>
      </w:r>
      <w:r>
        <w:rPr>
          <w:rFonts w:eastAsia="黑体"/>
          <w:szCs w:val="21"/>
        </w:rPr>
        <w:t xml:space="preserve">  </w:t>
      </w:r>
      <w:r>
        <w:rPr>
          <w:szCs w:val="21"/>
        </w:rPr>
        <w:t>选课结束后，各学院研究生办应通知任课教师从</w:t>
      </w:r>
      <w:r>
        <w:rPr>
          <w:rFonts w:ascii="宋体" w:hAnsi="宋体"/>
          <w:szCs w:val="21"/>
        </w:rPr>
        <w:t>“</w:t>
      </w:r>
      <w:r>
        <w:rPr>
          <w:szCs w:val="21"/>
        </w:rPr>
        <w:t>研究生管理信息系统</w:t>
      </w:r>
      <w:r>
        <w:rPr>
          <w:rFonts w:ascii="宋体" w:hAnsi="宋体"/>
          <w:szCs w:val="21"/>
        </w:rPr>
        <w:t>”</w:t>
      </w:r>
      <w:r>
        <w:rPr>
          <w:szCs w:val="21"/>
        </w:rPr>
        <w:t>下载、打印正式的学生选课名单。</w:t>
      </w:r>
    </w:p>
    <w:p w:rsidR="00B67A16" w:rsidRDefault="00B67A16" w:rsidP="00B67A16">
      <w:pPr>
        <w:pStyle w:val="2"/>
        <w:spacing w:before="312" w:after="156"/>
      </w:pPr>
      <w:r>
        <w:t>第六</w:t>
      </w:r>
      <w:r>
        <w:rPr>
          <w:bCs/>
        </w:rPr>
        <w:t>章</w:t>
      </w:r>
      <w:r>
        <w:rPr>
          <w:bCs/>
        </w:rPr>
        <w:t xml:space="preserve">  </w:t>
      </w:r>
      <w:r>
        <w:t>课程考核管理</w:t>
      </w:r>
    </w:p>
    <w:p w:rsidR="00B67A16" w:rsidRDefault="00B67A16" w:rsidP="00B67A16">
      <w:pPr>
        <w:topLinePunct/>
        <w:adjustRightInd w:val="0"/>
        <w:snapToGrid w:val="0"/>
        <w:spacing w:line="288" w:lineRule="auto"/>
        <w:ind w:firstLineChars="200" w:firstLine="420"/>
        <w:rPr>
          <w:szCs w:val="21"/>
        </w:rPr>
      </w:pPr>
      <w:r>
        <w:rPr>
          <w:rFonts w:eastAsia="黑体"/>
          <w:szCs w:val="21"/>
        </w:rPr>
        <w:t>第十八条</w:t>
      </w:r>
      <w:r>
        <w:rPr>
          <w:rFonts w:eastAsia="黑体"/>
          <w:szCs w:val="21"/>
        </w:rPr>
        <w:t xml:space="preserve">  </w:t>
      </w:r>
      <w:r>
        <w:rPr>
          <w:szCs w:val="21"/>
        </w:rPr>
        <w:t>研究生应当按照培养方案的要求，按时参加规定课程和各类教育教学环节的考核。考核成绩记入成绩册、归入研究生档案，如课程成绩补考、重修，将在成绩单上予以标注。</w:t>
      </w:r>
    </w:p>
    <w:p w:rsidR="00B67A16" w:rsidRDefault="00B67A16" w:rsidP="00B67A16">
      <w:pPr>
        <w:topLinePunct/>
        <w:adjustRightInd w:val="0"/>
        <w:snapToGrid w:val="0"/>
        <w:spacing w:line="288" w:lineRule="auto"/>
        <w:ind w:firstLineChars="200" w:firstLine="420"/>
        <w:rPr>
          <w:szCs w:val="21"/>
        </w:rPr>
      </w:pPr>
      <w:r>
        <w:rPr>
          <w:rFonts w:eastAsia="黑体"/>
          <w:szCs w:val="21"/>
        </w:rPr>
        <w:t>第十九条</w:t>
      </w:r>
      <w:r>
        <w:rPr>
          <w:rFonts w:eastAsia="黑体"/>
          <w:szCs w:val="21"/>
        </w:rPr>
        <w:t xml:space="preserve">  </w:t>
      </w:r>
      <w:r>
        <w:rPr>
          <w:szCs w:val="21"/>
        </w:rPr>
        <w:t>研究生课程考核可分为考试和考查两种。考试可采用笔试（开卷或闭卷）、口试，或口笔试结合等；考查以撰写论文或报告为主。学位课程考核要求采用考试方式，其中公共学位课一般采用闭卷笔试方式（外语课程考试可以部分结合口试），选修课程及其它环节的考核形式不限。</w:t>
      </w:r>
    </w:p>
    <w:p w:rsidR="00B67A16" w:rsidRDefault="00B67A16" w:rsidP="00B67A16">
      <w:pPr>
        <w:topLinePunct/>
        <w:adjustRightInd w:val="0"/>
        <w:snapToGrid w:val="0"/>
        <w:spacing w:line="288" w:lineRule="auto"/>
        <w:ind w:firstLineChars="200" w:firstLine="420"/>
        <w:rPr>
          <w:szCs w:val="21"/>
        </w:rPr>
      </w:pPr>
      <w:r>
        <w:rPr>
          <w:rFonts w:eastAsia="黑体"/>
          <w:szCs w:val="21"/>
        </w:rPr>
        <w:t>第二十条</w:t>
      </w:r>
      <w:r>
        <w:rPr>
          <w:rFonts w:eastAsia="黑体"/>
          <w:szCs w:val="21"/>
        </w:rPr>
        <w:t xml:space="preserve">  </w:t>
      </w:r>
      <w:r>
        <w:rPr>
          <w:szCs w:val="21"/>
        </w:rPr>
        <w:t>凡经正式选课，不参加考核者，成绩按零分记载。</w:t>
      </w:r>
    </w:p>
    <w:p w:rsidR="00B67A16" w:rsidRDefault="00B67A16" w:rsidP="00B67A16">
      <w:pPr>
        <w:topLinePunct/>
        <w:adjustRightInd w:val="0"/>
        <w:snapToGrid w:val="0"/>
        <w:spacing w:line="288" w:lineRule="auto"/>
        <w:ind w:firstLineChars="200" w:firstLine="420"/>
        <w:rPr>
          <w:szCs w:val="21"/>
        </w:rPr>
      </w:pPr>
      <w:r>
        <w:rPr>
          <w:rFonts w:eastAsia="黑体"/>
          <w:bCs/>
          <w:szCs w:val="21"/>
        </w:rPr>
        <w:t>第二十一条</w:t>
      </w:r>
      <w:r>
        <w:rPr>
          <w:rFonts w:eastAsia="黑体"/>
          <w:bCs/>
          <w:szCs w:val="21"/>
        </w:rPr>
        <w:t xml:space="preserve">  </w:t>
      </w:r>
      <w:r>
        <w:rPr>
          <w:szCs w:val="21"/>
        </w:rPr>
        <w:t>研究生应当按时参加培养计划要求的课程和教育教学环节，不能按时参加的，应事先办理书面请假手续。考勤结果可以作为评定成绩的依据之一。</w:t>
      </w:r>
    </w:p>
    <w:p w:rsidR="00B67A16" w:rsidRDefault="00B67A16" w:rsidP="00B67A16">
      <w:pPr>
        <w:topLinePunct/>
        <w:adjustRightInd w:val="0"/>
        <w:snapToGrid w:val="0"/>
        <w:spacing w:line="288" w:lineRule="auto"/>
        <w:ind w:firstLineChars="200" w:firstLine="420"/>
        <w:rPr>
          <w:szCs w:val="21"/>
        </w:rPr>
      </w:pPr>
      <w:r>
        <w:rPr>
          <w:szCs w:val="21"/>
        </w:rPr>
        <w:t>对未经请假（或未经免修）批准缺席培养环节、或未经请假（或未经免修）批准缺席教</w:t>
      </w:r>
      <w:r>
        <w:rPr>
          <w:szCs w:val="21"/>
        </w:rPr>
        <w:lastRenderedPageBreak/>
        <w:t>学活动超过三分之一学时或随机抽查三次缺席者，任课教师或院所有权取消其考核资格，相应成绩按零分记载。</w:t>
      </w:r>
    </w:p>
    <w:p w:rsidR="00B67A16" w:rsidRDefault="00B67A16" w:rsidP="00B67A16">
      <w:pPr>
        <w:topLinePunct/>
        <w:adjustRightInd w:val="0"/>
        <w:snapToGrid w:val="0"/>
        <w:spacing w:line="288" w:lineRule="auto"/>
        <w:ind w:firstLineChars="200" w:firstLine="420"/>
        <w:rPr>
          <w:szCs w:val="21"/>
        </w:rPr>
      </w:pPr>
      <w:proofErr w:type="gramStart"/>
      <w:r>
        <w:rPr>
          <w:szCs w:val="21"/>
        </w:rPr>
        <w:t>退课或</w:t>
      </w:r>
      <w:proofErr w:type="gramEnd"/>
      <w:r>
        <w:rPr>
          <w:szCs w:val="21"/>
        </w:rPr>
        <w:t>改选课程都应在开课前一周办理退改选课程手续，未办理</w:t>
      </w:r>
      <w:proofErr w:type="gramStart"/>
      <w:r>
        <w:rPr>
          <w:szCs w:val="21"/>
        </w:rPr>
        <w:t>退课手续</w:t>
      </w:r>
      <w:proofErr w:type="gramEnd"/>
      <w:r>
        <w:rPr>
          <w:szCs w:val="21"/>
        </w:rPr>
        <w:t>或未经免试批准不参加考核者，成绩以零分记；未办理选课手续参加考核者，成绩不计。</w:t>
      </w:r>
    </w:p>
    <w:p w:rsidR="00B67A16" w:rsidRPr="00C63FA0" w:rsidRDefault="00B67A16" w:rsidP="00B67A16">
      <w:pPr>
        <w:topLinePunct/>
        <w:adjustRightInd w:val="0"/>
        <w:snapToGrid w:val="0"/>
        <w:spacing w:line="288" w:lineRule="auto"/>
        <w:ind w:firstLineChars="200" w:firstLine="436"/>
        <w:rPr>
          <w:spacing w:val="4"/>
          <w:szCs w:val="21"/>
        </w:rPr>
      </w:pPr>
      <w:r w:rsidRPr="00C63FA0">
        <w:rPr>
          <w:spacing w:val="4"/>
          <w:szCs w:val="21"/>
        </w:rPr>
        <w:t>研究生因病或其他特殊原因不能参加考核者，应当事先办理课程缓考或培养环节延缓申请，经任课教师、导师、院所同意，研究生院批准后，方可课程缓考或培养环节延缓。同一门课程或同</w:t>
      </w:r>
      <w:proofErr w:type="gramStart"/>
      <w:r w:rsidRPr="00C63FA0">
        <w:rPr>
          <w:spacing w:val="4"/>
          <w:szCs w:val="21"/>
        </w:rPr>
        <w:t>一教育</w:t>
      </w:r>
      <w:proofErr w:type="gramEnd"/>
      <w:r w:rsidRPr="00C63FA0">
        <w:rPr>
          <w:spacing w:val="4"/>
          <w:szCs w:val="21"/>
        </w:rPr>
        <w:t>教学环节只能缓考或延缓一次。未办理缓考或延缓申请、擅自缺考或缺席者，成绩以零分或</w:t>
      </w:r>
      <w:r w:rsidRPr="00C63FA0">
        <w:rPr>
          <w:rFonts w:ascii="宋体" w:hAnsi="宋体"/>
          <w:spacing w:val="4"/>
          <w:szCs w:val="21"/>
        </w:rPr>
        <w:t>“</w:t>
      </w:r>
      <w:r w:rsidRPr="00C63FA0">
        <w:rPr>
          <w:spacing w:val="4"/>
          <w:szCs w:val="21"/>
        </w:rPr>
        <w:t>不通过</w:t>
      </w:r>
      <w:r w:rsidRPr="00C63FA0">
        <w:rPr>
          <w:rFonts w:ascii="宋体" w:hAnsi="宋体"/>
          <w:spacing w:val="4"/>
          <w:szCs w:val="21"/>
        </w:rPr>
        <w:t>”</w:t>
      </w:r>
      <w:r w:rsidRPr="00C63FA0">
        <w:rPr>
          <w:spacing w:val="4"/>
          <w:szCs w:val="21"/>
        </w:rPr>
        <w:t>或</w:t>
      </w:r>
      <w:r w:rsidRPr="00C63FA0">
        <w:rPr>
          <w:rFonts w:ascii="宋体" w:hAnsi="宋体"/>
          <w:spacing w:val="4"/>
          <w:szCs w:val="21"/>
        </w:rPr>
        <w:t>“</w:t>
      </w:r>
      <w:r w:rsidRPr="00C63FA0">
        <w:rPr>
          <w:spacing w:val="4"/>
          <w:szCs w:val="21"/>
        </w:rPr>
        <w:t>不合格</w:t>
      </w:r>
      <w:r w:rsidRPr="00C63FA0">
        <w:rPr>
          <w:rFonts w:ascii="宋体" w:hAnsi="宋体"/>
          <w:spacing w:val="4"/>
          <w:szCs w:val="21"/>
        </w:rPr>
        <w:t>”</w:t>
      </w:r>
      <w:r w:rsidRPr="00C63FA0">
        <w:rPr>
          <w:spacing w:val="4"/>
          <w:szCs w:val="21"/>
        </w:rPr>
        <w:t>记。学位</w:t>
      </w:r>
      <w:proofErr w:type="gramStart"/>
      <w:r w:rsidRPr="00C63FA0">
        <w:rPr>
          <w:spacing w:val="4"/>
          <w:szCs w:val="21"/>
        </w:rPr>
        <w:t>课缓考一般</w:t>
      </w:r>
      <w:proofErr w:type="gramEnd"/>
      <w:r w:rsidRPr="00C63FA0">
        <w:rPr>
          <w:spacing w:val="4"/>
          <w:szCs w:val="21"/>
        </w:rPr>
        <w:t>安排在开学初补考时同步进行，其他课程缓考或环节延缓一般只能与该课程或环节下一轮次的考核同步进行，不提前或单独安排。</w:t>
      </w:r>
    </w:p>
    <w:p w:rsidR="00B67A16" w:rsidRDefault="00B67A16" w:rsidP="00B67A16">
      <w:pPr>
        <w:pStyle w:val="2"/>
        <w:spacing w:before="312" w:after="156"/>
      </w:pPr>
      <w:r>
        <w:t>第七</w:t>
      </w:r>
      <w:r>
        <w:rPr>
          <w:bCs/>
        </w:rPr>
        <w:t>章</w:t>
      </w:r>
      <w:r>
        <w:rPr>
          <w:bCs/>
        </w:rPr>
        <w:t xml:space="preserve">  </w:t>
      </w:r>
      <w:r>
        <w:t>成绩管理</w:t>
      </w:r>
    </w:p>
    <w:p w:rsidR="00B67A16" w:rsidRDefault="00B67A16" w:rsidP="00B67A16">
      <w:pPr>
        <w:topLinePunct/>
        <w:adjustRightInd w:val="0"/>
        <w:snapToGrid w:val="0"/>
        <w:spacing w:line="288" w:lineRule="auto"/>
        <w:ind w:firstLineChars="200" w:firstLine="420"/>
        <w:rPr>
          <w:szCs w:val="21"/>
        </w:rPr>
      </w:pPr>
      <w:r>
        <w:rPr>
          <w:rFonts w:eastAsia="黑体"/>
          <w:bCs/>
          <w:szCs w:val="21"/>
        </w:rPr>
        <w:t>第二十二条</w:t>
      </w:r>
      <w:r>
        <w:rPr>
          <w:rFonts w:eastAsia="黑体"/>
          <w:bCs/>
          <w:szCs w:val="21"/>
        </w:rPr>
        <w:t xml:space="preserve">  </w:t>
      </w:r>
      <w:r>
        <w:rPr>
          <w:szCs w:val="21"/>
        </w:rPr>
        <w:t>考试成绩一般采取百分制计分，考查成绩可按优秀、良好、中等、及格及不及格五级制记分。研究生培养环节还可采用</w:t>
      </w:r>
      <w:r>
        <w:rPr>
          <w:rFonts w:ascii="宋体" w:hAnsi="宋体"/>
          <w:szCs w:val="21"/>
        </w:rPr>
        <w:t>“</w:t>
      </w:r>
      <w:r>
        <w:rPr>
          <w:szCs w:val="21"/>
        </w:rPr>
        <w:t>通过</w:t>
      </w:r>
      <w:r>
        <w:rPr>
          <w:rFonts w:ascii="宋体" w:hAnsi="宋体"/>
          <w:szCs w:val="21"/>
        </w:rPr>
        <w:t>”</w:t>
      </w:r>
      <w:r>
        <w:rPr>
          <w:szCs w:val="21"/>
        </w:rPr>
        <w:t>、</w:t>
      </w:r>
      <w:r>
        <w:rPr>
          <w:rFonts w:ascii="宋体" w:hAnsi="宋体"/>
          <w:szCs w:val="21"/>
        </w:rPr>
        <w:t>“</w:t>
      </w:r>
      <w:r>
        <w:rPr>
          <w:szCs w:val="21"/>
        </w:rPr>
        <w:t>不通过</w:t>
      </w:r>
      <w:r>
        <w:rPr>
          <w:rFonts w:ascii="宋体" w:hAnsi="宋体"/>
          <w:szCs w:val="21"/>
        </w:rPr>
        <w:t>”</w:t>
      </w:r>
      <w:r>
        <w:rPr>
          <w:szCs w:val="21"/>
        </w:rPr>
        <w:t>或</w:t>
      </w:r>
      <w:r>
        <w:rPr>
          <w:rFonts w:ascii="宋体" w:hAnsi="宋体"/>
          <w:szCs w:val="21"/>
        </w:rPr>
        <w:t>“</w:t>
      </w:r>
      <w:r>
        <w:rPr>
          <w:szCs w:val="21"/>
        </w:rPr>
        <w:t>合格</w:t>
      </w:r>
      <w:r>
        <w:rPr>
          <w:rFonts w:ascii="宋体" w:hAnsi="宋体"/>
          <w:szCs w:val="21"/>
        </w:rPr>
        <w:t>”</w:t>
      </w:r>
      <w:r>
        <w:rPr>
          <w:szCs w:val="21"/>
        </w:rPr>
        <w:t>、</w:t>
      </w:r>
      <w:r>
        <w:rPr>
          <w:rFonts w:ascii="宋体" w:hAnsi="宋体"/>
          <w:szCs w:val="21"/>
        </w:rPr>
        <w:t>“</w:t>
      </w:r>
      <w:r>
        <w:rPr>
          <w:szCs w:val="21"/>
        </w:rPr>
        <w:t>不合格</w:t>
      </w:r>
      <w:r>
        <w:rPr>
          <w:rFonts w:ascii="宋体" w:hAnsi="宋体"/>
          <w:szCs w:val="21"/>
        </w:rPr>
        <w:t>”</w:t>
      </w:r>
      <w:r>
        <w:rPr>
          <w:szCs w:val="21"/>
        </w:rPr>
        <w:t>两级制记分。</w:t>
      </w:r>
    </w:p>
    <w:p w:rsidR="00B67A16" w:rsidRDefault="00B67A16" w:rsidP="00B67A16">
      <w:pPr>
        <w:topLinePunct/>
        <w:adjustRightInd w:val="0"/>
        <w:snapToGrid w:val="0"/>
        <w:spacing w:line="288" w:lineRule="auto"/>
        <w:ind w:firstLineChars="200" w:firstLine="420"/>
        <w:rPr>
          <w:szCs w:val="21"/>
        </w:rPr>
      </w:pPr>
      <w:r>
        <w:rPr>
          <w:szCs w:val="21"/>
        </w:rPr>
        <w:t>百分制、五级制、两级制的成绩</w:t>
      </w:r>
      <w:proofErr w:type="gramStart"/>
      <w:r>
        <w:rPr>
          <w:szCs w:val="21"/>
        </w:rPr>
        <w:t>与绩点</w:t>
      </w:r>
      <w:proofErr w:type="gramEnd"/>
      <w:r>
        <w:rPr>
          <w:szCs w:val="21"/>
        </w:rPr>
        <w:t>的对应关系如下：</w:t>
      </w:r>
    </w:p>
    <w:p w:rsidR="00B67A16" w:rsidRDefault="00B67A16" w:rsidP="00B67A16">
      <w:pPr>
        <w:pStyle w:val="a3"/>
        <w:keepNext w:val="0"/>
        <w:widowControl w:val="0"/>
        <w:spacing w:beforeLines="50" w:after="156" w:line="240" w:lineRule="auto"/>
        <w:rPr>
          <w:rFonts w:cs="Times New Roman"/>
        </w:rPr>
      </w:pPr>
      <w:r>
        <w:rPr>
          <w:rFonts w:cs="Times New Roman"/>
        </w:rPr>
        <w:t>考核成绩</w:t>
      </w:r>
      <w:proofErr w:type="gramStart"/>
      <w:r>
        <w:rPr>
          <w:rFonts w:cs="Times New Roman"/>
        </w:rPr>
        <w:t>与绩点</w:t>
      </w:r>
      <w:proofErr w:type="gramEnd"/>
      <w:r>
        <w:rPr>
          <w:rFonts w:cs="Times New Roman"/>
        </w:rPr>
        <w:t>换算说明</w:t>
      </w:r>
    </w:p>
    <w:tbl>
      <w:tblPr>
        <w:tblW w:w="4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tblPr>
      <w:tblGrid>
        <w:gridCol w:w="2118"/>
        <w:gridCol w:w="2118"/>
        <w:gridCol w:w="2120"/>
        <w:gridCol w:w="1776"/>
      </w:tblGrid>
      <w:tr w:rsidR="00B67A16" w:rsidTr="00647510">
        <w:trPr>
          <w:cantSplit/>
          <w:trHeight w:val="340"/>
          <w:jc w:val="center"/>
        </w:trPr>
        <w:tc>
          <w:tcPr>
            <w:tcW w:w="4720" w:type="dxa"/>
            <w:gridSpan w:val="3"/>
            <w:vAlign w:val="center"/>
          </w:tcPr>
          <w:p w:rsidR="00B67A16" w:rsidRDefault="00B67A16" w:rsidP="00647510">
            <w:pPr>
              <w:topLinePunct/>
              <w:adjustRightInd w:val="0"/>
              <w:snapToGrid w:val="0"/>
              <w:jc w:val="center"/>
              <w:rPr>
                <w:b/>
                <w:kern w:val="0"/>
                <w:sz w:val="18"/>
                <w:szCs w:val="18"/>
              </w:rPr>
            </w:pPr>
            <w:r>
              <w:rPr>
                <w:b/>
                <w:kern w:val="0"/>
                <w:sz w:val="18"/>
                <w:szCs w:val="18"/>
              </w:rPr>
              <w:t>成绩</w:t>
            </w:r>
          </w:p>
        </w:tc>
        <w:tc>
          <w:tcPr>
            <w:tcW w:w="1319" w:type="dxa"/>
            <w:vMerge w:val="restart"/>
            <w:vAlign w:val="center"/>
          </w:tcPr>
          <w:p w:rsidR="00B67A16" w:rsidRDefault="00B67A16" w:rsidP="00647510">
            <w:pPr>
              <w:topLinePunct/>
              <w:adjustRightInd w:val="0"/>
              <w:snapToGrid w:val="0"/>
              <w:jc w:val="center"/>
              <w:rPr>
                <w:b/>
                <w:kern w:val="0"/>
                <w:sz w:val="18"/>
                <w:szCs w:val="18"/>
              </w:rPr>
            </w:pPr>
            <w:proofErr w:type="gramStart"/>
            <w:r>
              <w:rPr>
                <w:b/>
                <w:kern w:val="0"/>
                <w:sz w:val="18"/>
                <w:szCs w:val="18"/>
              </w:rPr>
              <w:t>绩点</w:t>
            </w:r>
            <w:proofErr w:type="gramEnd"/>
          </w:p>
        </w:tc>
      </w:tr>
      <w:tr w:rsidR="00B67A16" w:rsidTr="00647510">
        <w:trPr>
          <w:cantSplit/>
          <w:trHeight w:val="340"/>
          <w:jc w:val="center"/>
        </w:trPr>
        <w:tc>
          <w:tcPr>
            <w:tcW w:w="1573" w:type="dxa"/>
            <w:vAlign w:val="center"/>
          </w:tcPr>
          <w:p w:rsidR="00B67A16" w:rsidRDefault="00B67A16" w:rsidP="00647510">
            <w:pPr>
              <w:topLinePunct/>
              <w:adjustRightInd w:val="0"/>
              <w:snapToGrid w:val="0"/>
              <w:jc w:val="center"/>
              <w:rPr>
                <w:b/>
                <w:kern w:val="0"/>
                <w:sz w:val="18"/>
                <w:szCs w:val="18"/>
              </w:rPr>
            </w:pPr>
            <w:r>
              <w:rPr>
                <w:b/>
                <w:kern w:val="0"/>
                <w:sz w:val="18"/>
                <w:szCs w:val="18"/>
              </w:rPr>
              <w:t>百分制</w:t>
            </w:r>
          </w:p>
        </w:tc>
        <w:tc>
          <w:tcPr>
            <w:tcW w:w="1573" w:type="dxa"/>
            <w:vAlign w:val="center"/>
          </w:tcPr>
          <w:p w:rsidR="00B67A16" w:rsidRDefault="00B67A16" w:rsidP="00647510">
            <w:pPr>
              <w:topLinePunct/>
              <w:adjustRightInd w:val="0"/>
              <w:snapToGrid w:val="0"/>
              <w:jc w:val="center"/>
              <w:rPr>
                <w:b/>
                <w:kern w:val="0"/>
                <w:sz w:val="18"/>
                <w:szCs w:val="18"/>
              </w:rPr>
            </w:pPr>
            <w:r>
              <w:rPr>
                <w:b/>
                <w:kern w:val="0"/>
                <w:sz w:val="18"/>
                <w:szCs w:val="18"/>
              </w:rPr>
              <w:t>五级制</w:t>
            </w:r>
          </w:p>
        </w:tc>
        <w:tc>
          <w:tcPr>
            <w:tcW w:w="1574" w:type="dxa"/>
            <w:vAlign w:val="center"/>
          </w:tcPr>
          <w:p w:rsidR="00B67A16" w:rsidRDefault="00B67A16" w:rsidP="00647510">
            <w:pPr>
              <w:topLinePunct/>
              <w:adjustRightInd w:val="0"/>
              <w:snapToGrid w:val="0"/>
              <w:jc w:val="center"/>
              <w:rPr>
                <w:b/>
                <w:kern w:val="0"/>
                <w:sz w:val="18"/>
                <w:szCs w:val="18"/>
              </w:rPr>
            </w:pPr>
            <w:r>
              <w:rPr>
                <w:b/>
                <w:kern w:val="0"/>
                <w:sz w:val="18"/>
                <w:szCs w:val="18"/>
              </w:rPr>
              <w:t>两级制</w:t>
            </w:r>
          </w:p>
        </w:tc>
        <w:tc>
          <w:tcPr>
            <w:tcW w:w="1319" w:type="dxa"/>
            <w:vMerge/>
            <w:vAlign w:val="center"/>
          </w:tcPr>
          <w:p w:rsidR="00B67A16" w:rsidRDefault="00B67A16" w:rsidP="00647510">
            <w:pPr>
              <w:topLinePunct/>
              <w:adjustRightInd w:val="0"/>
              <w:snapToGrid w:val="0"/>
              <w:jc w:val="center"/>
              <w:rPr>
                <w:b/>
                <w:kern w:val="0"/>
                <w:sz w:val="18"/>
                <w:szCs w:val="18"/>
              </w:rPr>
            </w:pPr>
          </w:p>
        </w:tc>
      </w:tr>
      <w:tr w:rsidR="00B67A16" w:rsidTr="00647510">
        <w:trPr>
          <w:cantSplit/>
          <w:trHeight w:val="340"/>
          <w:jc w:val="center"/>
        </w:trPr>
        <w:tc>
          <w:tcPr>
            <w:tcW w:w="1573" w:type="dxa"/>
            <w:vAlign w:val="center"/>
          </w:tcPr>
          <w:p w:rsidR="00B67A16" w:rsidRDefault="00B67A16" w:rsidP="00647510">
            <w:pPr>
              <w:topLinePunct/>
              <w:adjustRightInd w:val="0"/>
              <w:snapToGrid w:val="0"/>
              <w:jc w:val="center"/>
              <w:rPr>
                <w:kern w:val="0"/>
                <w:sz w:val="18"/>
                <w:szCs w:val="18"/>
              </w:rPr>
            </w:pPr>
            <w:r>
              <w:rPr>
                <w:kern w:val="0"/>
                <w:sz w:val="18"/>
                <w:szCs w:val="18"/>
              </w:rPr>
              <w:t>100</w:t>
            </w:r>
            <w:r>
              <w:rPr>
                <w:rFonts w:hint="eastAsia"/>
                <w:kern w:val="0"/>
                <w:sz w:val="18"/>
                <w:szCs w:val="18"/>
              </w:rPr>
              <w:t>-</w:t>
            </w:r>
            <w:r>
              <w:rPr>
                <w:kern w:val="0"/>
                <w:sz w:val="18"/>
                <w:szCs w:val="18"/>
              </w:rPr>
              <w:t>90</w:t>
            </w:r>
          </w:p>
        </w:tc>
        <w:tc>
          <w:tcPr>
            <w:tcW w:w="1573" w:type="dxa"/>
            <w:vAlign w:val="center"/>
          </w:tcPr>
          <w:p w:rsidR="00B67A16" w:rsidRDefault="00B67A16" w:rsidP="00647510">
            <w:pPr>
              <w:topLinePunct/>
              <w:adjustRightInd w:val="0"/>
              <w:snapToGrid w:val="0"/>
              <w:jc w:val="center"/>
              <w:rPr>
                <w:kern w:val="0"/>
                <w:sz w:val="18"/>
                <w:szCs w:val="18"/>
              </w:rPr>
            </w:pPr>
            <w:r>
              <w:rPr>
                <w:kern w:val="0"/>
                <w:sz w:val="18"/>
                <w:szCs w:val="18"/>
              </w:rPr>
              <w:t>优秀</w:t>
            </w:r>
          </w:p>
        </w:tc>
        <w:tc>
          <w:tcPr>
            <w:tcW w:w="1574" w:type="dxa"/>
            <w:vAlign w:val="center"/>
          </w:tcPr>
          <w:p w:rsidR="00B67A16" w:rsidRDefault="00B67A16" w:rsidP="00647510">
            <w:pPr>
              <w:topLinePunct/>
              <w:adjustRightInd w:val="0"/>
              <w:snapToGrid w:val="0"/>
              <w:jc w:val="center"/>
              <w:rPr>
                <w:kern w:val="0"/>
                <w:sz w:val="18"/>
                <w:szCs w:val="18"/>
              </w:rPr>
            </w:pPr>
          </w:p>
        </w:tc>
        <w:tc>
          <w:tcPr>
            <w:tcW w:w="1319" w:type="dxa"/>
            <w:vAlign w:val="center"/>
          </w:tcPr>
          <w:p w:rsidR="00B67A16" w:rsidRDefault="00B67A16" w:rsidP="00647510">
            <w:pPr>
              <w:topLinePunct/>
              <w:adjustRightInd w:val="0"/>
              <w:snapToGrid w:val="0"/>
              <w:jc w:val="center"/>
              <w:rPr>
                <w:kern w:val="0"/>
                <w:sz w:val="18"/>
                <w:szCs w:val="18"/>
              </w:rPr>
            </w:pPr>
            <w:r>
              <w:rPr>
                <w:kern w:val="0"/>
                <w:sz w:val="18"/>
                <w:szCs w:val="18"/>
              </w:rPr>
              <w:t>4. 0</w:t>
            </w:r>
          </w:p>
        </w:tc>
      </w:tr>
      <w:tr w:rsidR="00B67A16" w:rsidTr="00647510">
        <w:trPr>
          <w:cantSplit/>
          <w:trHeight w:val="340"/>
          <w:jc w:val="center"/>
        </w:trPr>
        <w:tc>
          <w:tcPr>
            <w:tcW w:w="1573" w:type="dxa"/>
            <w:vAlign w:val="center"/>
          </w:tcPr>
          <w:p w:rsidR="00B67A16" w:rsidRDefault="00B67A16" w:rsidP="00647510">
            <w:pPr>
              <w:topLinePunct/>
              <w:adjustRightInd w:val="0"/>
              <w:snapToGrid w:val="0"/>
              <w:jc w:val="center"/>
              <w:rPr>
                <w:kern w:val="0"/>
                <w:sz w:val="18"/>
                <w:szCs w:val="18"/>
              </w:rPr>
            </w:pPr>
            <w:r>
              <w:rPr>
                <w:kern w:val="0"/>
                <w:sz w:val="18"/>
                <w:szCs w:val="18"/>
              </w:rPr>
              <w:t>89.9</w:t>
            </w:r>
            <w:r>
              <w:rPr>
                <w:rFonts w:hint="eastAsia"/>
                <w:kern w:val="0"/>
                <w:sz w:val="18"/>
                <w:szCs w:val="18"/>
              </w:rPr>
              <w:t>-</w:t>
            </w:r>
            <w:r>
              <w:rPr>
                <w:kern w:val="0"/>
                <w:sz w:val="18"/>
                <w:szCs w:val="18"/>
              </w:rPr>
              <w:t>85</w:t>
            </w:r>
          </w:p>
        </w:tc>
        <w:tc>
          <w:tcPr>
            <w:tcW w:w="1573" w:type="dxa"/>
            <w:vAlign w:val="center"/>
          </w:tcPr>
          <w:p w:rsidR="00B67A16" w:rsidRDefault="00B67A16" w:rsidP="00647510">
            <w:pPr>
              <w:topLinePunct/>
              <w:adjustRightInd w:val="0"/>
              <w:snapToGrid w:val="0"/>
              <w:jc w:val="center"/>
              <w:rPr>
                <w:kern w:val="0"/>
                <w:sz w:val="18"/>
                <w:szCs w:val="18"/>
              </w:rPr>
            </w:pPr>
          </w:p>
        </w:tc>
        <w:tc>
          <w:tcPr>
            <w:tcW w:w="1574" w:type="dxa"/>
            <w:vAlign w:val="center"/>
          </w:tcPr>
          <w:p w:rsidR="00B67A16" w:rsidRDefault="00B67A16" w:rsidP="00647510">
            <w:pPr>
              <w:topLinePunct/>
              <w:adjustRightInd w:val="0"/>
              <w:snapToGrid w:val="0"/>
              <w:jc w:val="center"/>
              <w:rPr>
                <w:kern w:val="0"/>
                <w:sz w:val="18"/>
                <w:szCs w:val="18"/>
              </w:rPr>
            </w:pPr>
          </w:p>
        </w:tc>
        <w:tc>
          <w:tcPr>
            <w:tcW w:w="1319" w:type="dxa"/>
            <w:vAlign w:val="center"/>
          </w:tcPr>
          <w:p w:rsidR="00B67A16" w:rsidRDefault="00B67A16" w:rsidP="00647510">
            <w:pPr>
              <w:topLinePunct/>
              <w:adjustRightInd w:val="0"/>
              <w:snapToGrid w:val="0"/>
              <w:jc w:val="center"/>
              <w:rPr>
                <w:kern w:val="0"/>
                <w:sz w:val="18"/>
                <w:szCs w:val="18"/>
              </w:rPr>
            </w:pPr>
            <w:r>
              <w:rPr>
                <w:kern w:val="0"/>
                <w:sz w:val="18"/>
                <w:szCs w:val="18"/>
              </w:rPr>
              <w:t>3.7</w:t>
            </w:r>
          </w:p>
        </w:tc>
      </w:tr>
      <w:tr w:rsidR="00B67A16" w:rsidTr="00647510">
        <w:trPr>
          <w:cantSplit/>
          <w:trHeight w:val="340"/>
          <w:jc w:val="center"/>
        </w:trPr>
        <w:tc>
          <w:tcPr>
            <w:tcW w:w="1573" w:type="dxa"/>
            <w:vAlign w:val="center"/>
          </w:tcPr>
          <w:p w:rsidR="00B67A16" w:rsidRDefault="00B67A16" w:rsidP="00647510">
            <w:pPr>
              <w:topLinePunct/>
              <w:adjustRightInd w:val="0"/>
              <w:snapToGrid w:val="0"/>
              <w:jc w:val="center"/>
              <w:rPr>
                <w:kern w:val="0"/>
                <w:sz w:val="18"/>
                <w:szCs w:val="18"/>
              </w:rPr>
            </w:pPr>
            <w:r>
              <w:rPr>
                <w:kern w:val="0"/>
                <w:sz w:val="18"/>
                <w:szCs w:val="18"/>
              </w:rPr>
              <w:t>84.9</w:t>
            </w:r>
            <w:r>
              <w:rPr>
                <w:rFonts w:hint="eastAsia"/>
                <w:kern w:val="0"/>
                <w:sz w:val="18"/>
                <w:szCs w:val="18"/>
              </w:rPr>
              <w:t>-</w:t>
            </w:r>
            <w:r>
              <w:rPr>
                <w:kern w:val="0"/>
                <w:sz w:val="18"/>
                <w:szCs w:val="18"/>
              </w:rPr>
              <w:t>82</w:t>
            </w:r>
          </w:p>
        </w:tc>
        <w:tc>
          <w:tcPr>
            <w:tcW w:w="1573" w:type="dxa"/>
            <w:vAlign w:val="center"/>
          </w:tcPr>
          <w:p w:rsidR="00B67A16" w:rsidRDefault="00B67A16" w:rsidP="00647510">
            <w:pPr>
              <w:topLinePunct/>
              <w:adjustRightInd w:val="0"/>
              <w:snapToGrid w:val="0"/>
              <w:jc w:val="center"/>
              <w:rPr>
                <w:kern w:val="0"/>
                <w:sz w:val="18"/>
                <w:szCs w:val="18"/>
              </w:rPr>
            </w:pPr>
            <w:r>
              <w:rPr>
                <w:kern w:val="0"/>
                <w:sz w:val="18"/>
                <w:szCs w:val="18"/>
              </w:rPr>
              <w:t>良好</w:t>
            </w:r>
          </w:p>
        </w:tc>
        <w:tc>
          <w:tcPr>
            <w:tcW w:w="1574" w:type="dxa"/>
            <w:vAlign w:val="center"/>
          </w:tcPr>
          <w:p w:rsidR="00B67A16" w:rsidRDefault="00B67A16" w:rsidP="00647510">
            <w:pPr>
              <w:topLinePunct/>
              <w:adjustRightInd w:val="0"/>
              <w:snapToGrid w:val="0"/>
              <w:jc w:val="center"/>
              <w:rPr>
                <w:kern w:val="0"/>
                <w:sz w:val="18"/>
                <w:szCs w:val="18"/>
              </w:rPr>
            </w:pPr>
            <w:r>
              <w:rPr>
                <w:kern w:val="0"/>
                <w:sz w:val="18"/>
                <w:szCs w:val="18"/>
              </w:rPr>
              <w:t>通过或</w:t>
            </w:r>
            <w:r>
              <w:rPr>
                <w:rFonts w:hint="eastAsia"/>
                <w:kern w:val="0"/>
                <w:sz w:val="18"/>
                <w:szCs w:val="18"/>
              </w:rPr>
              <w:t>合格</w:t>
            </w:r>
          </w:p>
        </w:tc>
        <w:tc>
          <w:tcPr>
            <w:tcW w:w="1319" w:type="dxa"/>
            <w:vAlign w:val="center"/>
          </w:tcPr>
          <w:p w:rsidR="00B67A16" w:rsidRDefault="00B67A16" w:rsidP="00647510">
            <w:pPr>
              <w:topLinePunct/>
              <w:adjustRightInd w:val="0"/>
              <w:snapToGrid w:val="0"/>
              <w:jc w:val="center"/>
              <w:rPr>
                <w:kern w:val="0"/>
                <w:sz w:val="18"/>
                <w:szCs w:val="18"/>
              </w:rPr>
            </w:pPr>
            <w:r>
              <w:rPr>
                <w:kern w:val="0"/>
                <w:sz w:val="18"/>
                <w:szCs w:val="18"/>
              </w:rPr>
              <w:t>3.3</w:t>
            </w:r>
          </w:p>
        </w:tc>
      </w:tr>
      <w:tr w:rsidR="00B67A16" w:rsidTr="00647510">
        <w:trPr>
          <w:cantSplit/>
          <w:trHeight w:val="340"/>
          <w:jc w:val="center"/>
        </w:trPr>
        <w:tc>
          <w:tcPr>
            <w:tcW w:w="1573" w:type="dxa"/>
            <w:vAlign w:val="center"/>
          </w:tcPr>
          <w:p w:rsidR="00B67A16" w:rsidRDefault="00B67A16" w:rsidP="00647510">
            <w:pPr>
              <w:topLinePunct/>
              <w:adjustRightInd w:val="0"/>
              <w:snapToGrid w:val="0"/>
              <w:jc w:val="center"/>
              <w:rPr>
                <w:kern w:val="0"/>
                <w:sz w:val="18"/>
                <w:szCs w:val="18"/>
              </w:rPr>
            </w:pPr>
            <w:r>
              <w:rPr>
                <w:kern w:val="0"/>
                <w:sz w:val="18"/>
                <w:szCs w:val="18"/>
              </w:rPr>
              <w:t>81.9</w:t>
            </w:r>
            <w:r>
              <w:rPr>
                <w:rFonts w:hint="eastAsia"/>
                <w:kern w:val="0"/>
                <w:sz w:val="18"/>
                <w:szCs w:val="18"/>
              </w:rPr>
              <w:t>-</w:t>
            </w:r>
            <w:r>
              <w:rPr>
                <w:kern w:val="0"/>
                <w:sz w:val="18"/>
                <w:szCs w:val="18"/>
              </w:rPr>
              <w:t>78</w:t>
            </w:r>
          </w:p>
        </w:tc>
        <w:tc>
          <w:tcPr>
            <w:tcW w:w="1573" w:type="dxa"/>
            <w:vMerge w:val="restart"/>
            <w:vAlign w:val="center"/>
          </w:tcPr>
          <w:p w:rsidR="00B67A16" w:rsidRDefault="00B67A16" w:rsidP="00647510">
            <w:pPr>
              <w:topLinePunct/>
              <w:adjustRightInd w:val="0"/>
              <w:snapToGrid w:val="0"/>
              <w:jc w:val="center"/>
              <w:rPr>
                <w:kern w:val="0"/>
                <w:sz w:val="18"/>
                <w:szCs w:val="18"/>
              </w:rPr>
            </w:pPr>
          </w:p>
        </w:tc>
        <w:tc>
          <w:tcPr>
            <w:tcW w:w="1574" w:type="dxa"/>
            <w:vAlign w:val="center"/>
          </w:tcPr>
          <w:p w:rsidR="00B67A16" w:rsidRDefault="00B67A16" w:rsidP="00647510">
            <w:pPr>
              <w:topLinePunct/>
              <w:adjustRightInd w:val="0"/>
              <w:snapToGrid w:val="0"/>
              <w:jc w:val="center"/>
              <w:rPr>
                <w:kern w:val="0"/>
                <w:sz w:val="18"/>
                <w:szCs w:val="18"/>
              </w:rPr>
            </w:pPr>
          </w:p>
        </w:tc>
        <w:tc>
          <w:tcPr>
            <w:tcW w:w="1319" w:type="dxa"/>
            <w:vAlign w:val="center"/>
          </w:tcPr>
          <w:p w:rsidR="00B67A16" w:rsidRDefault="00B67A16" w:rsidP="00647510">
            <w:pPr>
              <w:topLinePunct/>
              <w:adjustRightInd w:val="0"/>
              <w:snapToGrid w:val="0"/>
              <w:jc w:val="center"/>
              <w:rPr>
                <w:kern w:val="0"/>
                <w:sz w:val="18"/>
                <w:szCs w:val="18"/>
              </w:rPr>
            </w:pPr>
            <w:r>
              <w:rPr>
                <w:kern w:val="0"/>
                <w:sz w:val="18"/>
                <w:szCs w:val="18"/>
              </w:rPr>
              <w:t>3.0</w:t>
            </w:r>
          </w:p>
        </w:tc>
      </w:tr>
      <w:tr w:rsidR="00B67A16" w:rsidTr="00647510">
        <w:trPr>
          <w:cantSplit/>
          <w:trHeight w:val="340"/>
          <w:jc w:val="center"/>
        </w:trPr>
        <w:tc>
          <w:tcPr>
            <w:tcW w:w="1573" w:type="dxa"/>
            <w:vAlign w:val="center"/>
          </w:tcPr>
          <w:p w:rsidR="00B67A16" w:rsidRDefault="00B67A16" w:rsidP="00647510">
            <w:pPr>
              <w:topLinePunct/>
              <w:adjustRightInd w:val="0"/>
              <w:snapToGrid w:val="0"/>
              <w:jc w:val="center"/>
              <w:rPr>
                <w:kern w:val="0"/>
                <w:sz w:val="18"/>
                <w:szCs w:val="18"/>
              </w:rPr>
            </w:pPr>
            <w:r>
              <w:rPr>
                <w:kern w:val="0"/>
                <w:sz w:val="18"/>
                <w:szCs w:val="18"/>
              </w:rPr>
              <w:t>77.9</w:t>
            </w:r>
            <w:r>
              <w:rPr>
                <w:rFonts w:hint="eastAsia"/>
                <w:kern w:val="0"/>
                <w:sz w:val="18"/>
                <w:szCs w:val="18"/>
              </w:rPr>
              <w:t>-</w:t>
            </w:r>
            <w:r>
              <w:rPr>
                <w:kern w:val="0"/>
                <w:sz w:val="18"/>
                <w:szCs w:val="18"/>
              </w:rPr>
              <w:t>75</w:t>
            </w:r>
          </w:p>
        </w:tc>
        <w:tc>
          <w:tcPr>
            <w:tcW w:w="1573" w:type="dxa"/>
            <w:vMerge/>
            <w:vAlign w:val="center"/>
          </w:tcPr>
          <w:p w:rsidR="00B67A16" w:rsidRDefault="00B67A16" w:rsidP="00647510">
            <w:pPr>
              <w:topLinePunct/>
              <w:adjustRightInd w:val="0"/>
              <w:snapToGrid w:val="0"/>
              <w:jc w:val="center"/>
              <w:rPr>
                <w:kern w:val="0"/>
                <w:sz w:val="18"/>
                <w:szCs w:val="18"/>
              </w:rPr>
            </w:pPr>
          </w:p>
        </w:tc>
        <w:tc>
          <w:tcPr>
            <w:tcW w:w="1574" w:type="dxa"/>
            <w:vAlign w:val="center"/>
          </w:tcPr>
          <w:p w:rsidR="00B67A16" w:rsidRDefault="00B67A16" w:rsidP="00647510">
            <w:pPr>
              <w:topLinePunct/>
              <w:adjustRightInd w:val="0"/>
              <w:snapToGrid w:val="0"/>
              <w:jc w:val="center"/>
              <w:rPr>
                <w:kern w:val="0"/>
                <w:sz w:val="18"/>
                <w:szCs w:val="18"/>
              </w:rPr>
            </w:pPr>
          </w:p>
        </w:tc>
        <w:tc>
          <w:tcPr>
            <w:tcW w:w="1319" w:type="dxa"/>
            <w:vAlign w:val="center"/>
          </w:tcPr>
          <w:p w:rsidR="00B67A16" w:rsidRDefault="00B67A16" w:rsidP="00647510">
            <w:pPr>
              <w:topLinePunct/>
              <w:adjustRightInd w:val="0"/>
              <w:snapToGrid w:val="0"/>
              <w:jc w:val="center"/>
              <w:rPr>
                <w:kern w:val="0"/>
                <w:sz w:val="18"/>
                <w:szCs w:val="18"/>
              </w:rPr>
            </w:pPr>
            <w:r>
              <w:rPr>
                <w:kern w:val="0"/>
                <w:sz w:val="18"/>
                <w:szCs w:val="18"/>
              </w:rPr>
              <w:t>2.7</w:t>
            </w:r>
          </w:p>
        </w:tc>
      </w:tr>
      <w:tr w:rsidR="00B67A16" w:rsidTr="00647510">
        <w:trPr>
          <w:cantSplit/>
          <w:trHeight w:val="340"/>
          <w:jc w:val="center"/>
        </w:trPr>
        <w:tc>
          <w:tcPr>
            <w:tcW w:w="1573" w:type="dxa"/>
            <w:vAlign w:val="center"/>
          </w:tcPr>
          <w:p w:rsidR="00B67A16" w:rsidRDefault="00B67A16" w:rsidP="00647510">
            <w:pPr>
              <w:topLinePunct/>
              <w:adjustRightInd w:val="0"/>
              <w:snapToGrid w:val="0"/>
              <w:jc w:val="center"/>
              <w:rPr>
                <w:kern w:val="0"/>
                <w:sz w:val="18"/>
                <w:szCs w:val="18"/>
              </w:rPr>
            </w:pPr>
            <w:r>
              <w:rPr>
                <w:kern w:val="0"/>
                <w:sz w:val="18"/>
                <w:szCs w:val="18"/>
              </w:rPr>
              <w:t>74.9</w:t>
            </w:r>
            <w:r>
              <w:rPr>
                <w:rFonts w:hint="eastAsia"/>
                <w:kern w:val="0"/>
                <w:sz w:val="18"/>
                <w:szCs w:val="18"/>
              </w:rPr>
              <w:t>-</w:t>
            </w:r>
            <w:r>
              <w:rPr>
                <w:kern w:val="0"/>
                <w:sz w:val="18"/>
                <w:szCs w:val="18"/>
              </w:rPr>
              <w:t>72</w:t>
            </w:r>
          </w:p>
        </w:tc>
        <w:tc>
          <w:tcPr>
            <w:tcW w:w="1573" w:type="dxa"/>
            <w:vAlign w:val="center"/>
          </w:tcPr>
          <w:p w:rsidR="00B67A16" w:rsidRDefault="00B67A16" w:rsidP="00647510">
            <w:pPr>
              <w:topLinePunct/>
              <w:adjustRightInd w:val="0"/>
              <w:snapToGrid w:val="0"/>
              <w:jc w:val="center"/>
              <w:rPr>
                <w:kern w:val="0"/>
                <w:sz w:val="18"/>
                <w:szCs w:val="18"/>
              </w:rPr>
            </w:pPr>
            <w:r>
              <w:rPr>
                <w:kern w:val="0"/>
                <w:sz w:val="18"/>
                <w:szCs w:val="18"/>
              </w:rPr>
              <w:t>中等</w:t>
            </w:r>
          </w:p>
        </w:tc>
        <w:tc>
          <w:tcPr>
            <w:tcW w:w="1574" w:type="dxa"/>
            <w:vAlign w:val="center"/>
          </w:tcPr>
          <w:p w:rsidR="00B67A16" w:rsidRDefault="00B67A16" w:rsidP="00647510">
            <w:pPr>
              <w:topLinePunct/>
              <w:adjustRightInd w:val="0"/>
              <w:snapToGrid w:val="0"/>
              <w:jc w:val="center"/>
              <w:rPr>
                <w:kern w:val="0"/>
                <w:sz w:val="18"/>
                <w:szCs w:val="18"/>
              </w:rPr>
            </w:pPr>
          </w:p>
        </w:tc>
        <w:tc>
          <w:tcPr>
            <w:tcW w:w="1319" w:type="dxa"/>
            <w:vAlign w:val="center"/>
          </w:tcPr>
          <w:p w:rsidR="00B67A16" w:rsidRDefault="00B67A16" w:rsidP="00647510">
            <w:pPr>
              <w:topLinePunct/>
              <w:adjustRightInd w:val="0"/>
              <w:snapToGrid w:val="0"/>
              <w:jc w:val="center"/>
              <w:rPr>
                <w:kern w:val="0"/>
                <w:sz w:val="18"/>
                <w:szCs w:val="18"/>
              </w:rPr>
            </w:pPr>
            <w:r>
              <w:rPr>
                <w:kern w:val="0"/>
                <w:sz w:val="18"/>
                <w:szCs w:val="18"/>
              </w:rPr>
              <w:t>2.3</w:t>
            </w:r>
          </w:p>
        </w:tc>
      </w:tr>
      <w:tr w:rsidR="00B67A16" w:rsidTr="00647510">
        <w:trPr>
          <w:cantSplit/>
          <w:trHeight w:val="340"/>
          <w:jc w:val="center"/>
        </w:trPr>
        <w:tc>
          <w:tcPr>
            <w:tcW w:w="1573" w:type="dxa"/>
            <w:vAlign w:val="center"/>
          </w:tcPr>
          <w:p w:rsidR="00B67A16" w:rsidRDefault="00B67A16" w:rsidP="00647510">
            <w:pPr>
              <w:topLinePunct/>
              <w:adjustRightInd w:val="0"/>
              <w:snapToGrid w:val="0"/>
              <w:jc w:val="center"/>
              <w:rPr>
                <w:kern w:val="0"/>
                <w:sz w:val="18"/>
                <w:szCs w:val="18"/>
              </w:rPr>
            </w:pPr>
            <w:r>
              <w:rPr>
                <w:kern w:val="0"/>
                <w:sz w:val="18"/>
                <w:szCs w:val="18"/>
              </w:rPr>
              <w:t>71.9</w:t>
            </w:r>
            <w:r>
              <w:rPr>
                <w:rFonts w:hint="eastAsia"/>
                <w:kern w:val="0"/>
                <w:sz w:val="18"/>
                <w:szCs w:val="18"/>
              </w:rPr>
              <w:t>-</w:t>
            </w:r>
            <w:r>
              <w:rPr>
                <w:kern w:val="0"/>
                <w:sz w:val="18"/>
                <w:szCs w:val="18"/>
              </w:rPr>
              <w:t>68</w:t>
            </w:r>
          </w:p>
        </w:tc>
        <w:tc>
          <w:tcPr>
            <w:tcW w:w="1573" w:type="dxa"/>
            <w:vMerge w:val="restart"/>
            <w:vAlign w:val="center"/>
          </w:tcPr>
          <w:p w:rsidR="00B67A16" w:rsidRDefault="00B67A16" w:rsidP="00647510">
            <w:pPr>
              <w:topLinePunct/>
              <w:adjustRightInd w:val="0"/>
              <w:snapToGrid w:val="0"/>
              <w:jc w:val="center"/>
              <w:rPr>
                <w:kern w:val="0"/>
                <w:sz w:val="18"/>
                <w:szCs w:val="18"/>
              </w:rPr>
            </w:pPr>
          </w:p>
        </w:tc>
        <w:tc>
          <w:tcPr>
            <w:tcW w:w="1574" w:type="dxa"/>
            <w:vAlign w:val="center"/>
          </w:tcPr>
          <w:p w:rsidR="00B67A16" w:rsidRDefault="00B67A16" w:rsidP="00647510">
            <w:pPr>
              <w:topLinePunct/>
              <w:adjustRightInd w:val="0"/>
              <w:snapToGrid w:val="0"/>
              <w:jc w:val="center"/>
              <w:rPr>
                <w:kern w:val="0"/>
                <w:sz w:val="18"/>
                <w:szCs w:val="18"/>
              </w:rPr>
            </w:pPr>
          </w:p>
        </w:tc>
        <w:tc>
          <w:tcPr>
            <w:tcW w:w="1319" w:type="dxa"/>
            <w:vAlign w:val="center"/>
          </w:tcPr>
          <w:p w:rsidR="00B67A16" w:rsidRDefault="00B67A16" w:rsidP="00647510">
            <w:pPr>
              <w:topLinePunct/>
              <w:adjustRightInd w:val="0"/>
              <w:snapToGrid w:val="0"/>
              <w:jc w:val="center"/>
              <w:rPr>
                <w:kern w:val="0"/>
                <w:sz w:val="18"/>
                <w:szCs w:val="18"/>
              </w:rPr>
            </w:pPr>
            <w:r>
              <w:rPr>
                <w:kern w:val="0"/>
                <w:sz w:val="18"/>
                <w:szCs w:val="18"/>
              </w:rPr>
              <w:t>2.0</w:t>
            </w:r>
          </w:p>
        </w:tc>
      </w:tr>
      <w:tr w:rsidR="00B67A16" w:rsidTr="00647510">
        <w:trPr>
          <w:cantSplit/>
          <w:trHeight w:val="340"/>
          <w:jc w:val="center"/>
        </w:trPr>
        <w:tc>
          <w:tcPr>
            <w:tcW w:w="1573" w:type="dxa"/>
            <w:vAlign w:val="center"/>
          </w:tcPr>
          <w:p w:rsidR="00B67A16" w:rsidRDefault="00B67A16" w:rsidP="00647510">
            <w:pPr>
              <w:topLinePunct/>
              <w:adjustRightInd w:val="0"/>
              <w:snapToGrid w:val="0"/>
              <w:jc w:val="center"/>
              <w:rPr>
                <w:kern w:val="0"/>
                <w:sz w:val="18"/>
                <w:szCs w:val="18"/>
              </w:rPr>
            </w:pPr>
            <w:r>
              <w:rPr>
                <w:kern w:val="0"/>
                <w:sz w:val="18"/>
                <w:szCs w:val="18"/>
              </w:rPr>
              <w:t>67.9</w:t>
            </w:r>
            <w:r>
              <w:rPr>
                <w:rFonts w:hint="eastAsia"/>
                <w:kern w:val="0"/>
                <w:sz w:val="18"/>
                <w:szCs w:val="18"/>
              </w:rPr>
              <w:t>-</w:t>
            </w:r>
            <w:r>
              <w:rPr>
                <w:kern w:val="0"/>
                <w:sz w:val="18"/>
                <w:szCs w:val="18"/>
              </w:rPr>
              <w:t>66</w:t>
            </w:r>
          </w:p>
        </w:tc>
        <w:tc>
          <w:tcPr>
            <w:tcW w:w="1573" w:type="dxa"/>
            <w:vMerge/>
            <w:vAlign w:val="center"/>
          </w:tcPr>
          <w:p w:rsidR="00B67A16" w:rsidRDefault="00B67A16" w:rsidP="00647510">
            <w:pPr>
              <w:topLinePunct/>
              <w:adjustRightInd w:val="0"/>
              <w:snapToGrid w:val="0"/>
              <w:jc w:val="center"/>
              <w:rPr>
                <w:kern w:val="0"/>
                <w:sz w:val="18"/>
                <w:szCs w:val="18"/>
              </w:rPr>
            </w:pPr>
          </w:p>
        </w:tc>
        <w:tc>
          <w:tcPr>
            <w:tcW w:w="1574" w:type="dxa"/>
            <w:vAlign w:val="center"/>
          </w:tcPr>
          <w:p w:rsidR="00B67A16" w:rsidRDefault="00B67A16" w:rsidP="00647510">
            <w:pPr>
              <w:topLinePunct/>
              <w:adjustRightInd w:val="0"/>
              <w:snapToGrid w:val="0"/>
              <w:jc w:val="center"/>
              <w:rPr>
                <w:kern w:val="0"/>
                <w:sz w:val="18"/>
                <w:szCs w:val="18"/>
              </w:rPr>
            </w:pPr>
          </w:p>
        </w:tc>
        <w:tc>
          <w:tcPr>
            <w:tcW w:w="1319" w:type="dxa"/>
            <w:vAlign w:val="center"/>
          </w:tcPr>
          <w:p w:rsidR="00B67A16" w:rsidRDefault="00B67A16" w:rsidP="00647510">
            <w:pPr>
              <w:topLinePunct/>
              <w:adjustRightInd w:val="0"/>
              <w:snapToGrid w:val="0"/>
              <w:jc w:val="center"/>
              <w:rPr>
                <w:kern w:val="0"/>
                <w:sz w:val="18"/>
                <w:szCs w:val="18"/>
              </w:rPr>
            </w:pPr>
            <w:r>
              <w:rPr>
                <w:kern w:val="0"/>
                <w:sz w:val="18"/>
                <w:szCs w:val="18"/>
              </w:rPr>
              <w:t>1.7</w:t>
            </w:r>
          </w:p>
        </w:tc>
      </w:tr>
      <w:tr w:rsidR="00B67A16" w:rsidTr="00647510">
        <w:trPr>
          <w:cantSplit/>
          <w:trHeight w:val="340"/>
          <w:jc w:val="center"/>
        </w:trPr>
        <w:tc>
          <w:tcPr>
            <w:tcW w:w="1573" w:type="dxa"/>
            <w:vAlign w:val="center"/>
          </w:tcPr>
          <w:p w:rsidR="00B67A16" w:rsidRDefault="00B67A16" w:rsidP="00647510">
            <w:pPr>
              <w:topLinePunct/>
              <w:adjustRightInd w:val="0"/>
              <w:snapToGrid w:val="0"/>
              <w:jc w:val="center"/>
              <w:rPr>
                <w:kern w:val="0"/>
                <w:sz w:val="18"/>
                <w:szCs w:val="18"/>
              </w:rPr>
            </w:pPr>
            <w:r>
              <w:rPr>
                <w:kern w:val="0"/>
                <w:sz w:val="18"/>
                <w:szCs w:val="18"/>
              </w:rPr>
              <w:t>65.9</w:t>
            </w:r>
            <w:r>
              <w:rPr>
                <w:rFonts w:hint="eastAsia"/>
                <w:kern w:val="0"/>
                <w:sz w:val="18"/>
                <w:szCs w:val="18"/>
              </w:rPr>
              <w:t>-</w:t>
            </w:r>
            <w:r>
              <w:rPr>
                <w:kern w:val="0"/>
                <w:sz w:val="18"/>
                <w:szCs w:val="18"/>
              </w:rPr>
              <w:t>64</w:t>
            </w:r>
          </w:p>
        </w:tc>
        <w:tc>
          <w:tcPr>
            <w:tcW w:w="1573" w:type="dxa"/>
            <w:vMerge/>
            <w:vAlign w:val="center"/>
          </w:tcPr>
          <w:p w:rsidR="00B67A16" w:rsidRDefault="00B67A16" w:rsidP="00647510">
            <w:pPr>
              <w:topLinePunct/>
              <w:adjustRightInd w:val="0"/>
              <w:snapToGrid w:val="0"/>
              <w:jc w:val="center"/>
              <w:rPr>
                <w:kern w:val="0"/>
                <w:sz w:val="18"/>
                <w:szCs w:val="18"/>
              </w:rPr>
            </w:pPr>
          </w:p>
        </w:tc>
        <w:tc>
          <w:tcPr>
            <w:tcW w:w="1574" w:type="dxa"/>
            <w:vAlign w:val="center"/>
          </w:tcPr>
          <w:p w:rsidR="00B67A16" w:rsidRDefault="00B67A16" w:rsidP="00647510">
            <w:pPr>
              <w:topLinePunct/>
              <w:adjustRightInd w:val="0"/>
              <w:snapToGrid w:val="0"/>
              <w:jc w:val="center"/>
              <w:rPr>
                <w:kern w:val="0"/>
                <w:sz w:val="18"/>
                <w:szCs w:val="18"/>
              </w:rPr>
            </w:pPr>
          </w:p>
        </w:tc>
        <w:tc>
          <w:tcPr>
            <w:tcW w:w="1319" w:type="dxa"/>
            <w:vAlign w:val="center"/>
          </w:tcPr>
          <w:p w:rsidR="00B67A16" w:rsidRDefault="00B67A16" w:rsidP="00647510">
            <w:pPr>
              <w:topLinePunct/>
              <w:adjustRightInd w:val="0"/>
              <w:snapToGrid w:val="0"/>
              <w:jc w:val="center"/>
              <w:rPr>
                <w:kern w:val="0"/>
                <w:sz w:val="18"/>
                <w:szCs w:val="18"/>
              </w:rPr>
            </w:pPr>
            <w:r>
              <w:rPr>
                <w:kern w:val="0"/>
                <w:sz w:val="18"/>
                <w:szCs w:val="18"/>
              </w:rPr>
              <w:t>1.5</w:t>
            </w:r>
          </w:p>
        </w:tc>
      </w:tr>
      <w:tr w:rsidR="00B67A16" w:rsidTr="00647510">
        <w:trPr>
          <w:cantSplit/>
          <w:trHeight w:val="340"/>
          <w:jc w:val="center"/>
        </w:trPr>
        <w:tc>
          <w:tcPr>
            <w:tcW w:w="1573" w:type="dxa"/>
            <w:vAlign w:val="center"/>
          </w:tcPr>
          <w:p w:rsidR="00B67A16" w:rsidRDefault="00B67A16" w:rsidP="00647510">
            <w:pPr>
              <w:topLinePunct/>
              <w:adjustRightInd w:val="0"/>
              <w:snapToGrid w:val="0"/>
              <w:jc w:val="center"/>
              <w:rPr>
                <w:kern w:val="0"/>
                <w:sz w:val="18"/>
                <w:szCs w:val="18"/>
              </w:rPr>
            </w:pPr>
            <w:r>
              <w:rPr>
                <w:kern w:val="0"/>
                <w:sz w:val="18"/>
                <w:szCs w:val="18"/>
              </w:rPr>
              <w:t>63.9</w:t>
            </w:r>
            <w:r>
              <w:rPr>
                <w:rFonts w:hint="eastAsia"/>
                <w:kern w:val="0"/>
                <w:sz w:val="18"/>
                <w:szCs w:val="18"/>
              </w:rPr>
              <w:t>-</w:t>
            </w:r>
            <w:r>
              <w:rPr>
                <w:kern w:val="0"/>
                <w:sz w:val="18"/>
                <w:szCs w:val="18"/>
              </w:rPr>
              <w:t>60</w:t>
            </w:r>
          </w:p>
        </w:tc>
        <w:tc>
          <w:tcPr>
            <w:tcW w:w="1573" w:type="dxa"/>
            <w:vAlign w:val="center"/>
          </w:tcPr>
          <w:p w:rsidR="00B67A16" w:rsidRDefault="00B67A16" w:rsidP="00647510">
            <w:pPr>
              <w:topLinePunct/>
              <w:adjustRightInd w:val="0"/>
              <w:snapToGrid w:val="0"/>
              <w:jc w:val="center"/>
              <w:rPr>
                <w:kern w:val="0"/>
                <w:sz w:val="18"/>
                <w:szCs w:val="18"/>
              </w:rPr>
            </w:pPr>
            <w:r>
              <w:rPr>
                <w:kern w:val="0"/>
                <w:sz w:val="18"/>
                <w:szCs w:val="18"/>
              </w:rPr>
              <w:t>及格</w:t>
            </w:r>
          </w:p>
        </w:tc>
        <w:tc>
          <w:tcPr>
            <w:tcW w:w="1574" w:type="dxa"/>
            <w:vAlign w:val="center"/>
          </w:tcPr>
          <w:p w:rsidR="00B67A16" w:rsidRDefault="00B67A16" w:rsidP="00647510">
            <w:pPr>
              <w:topLinePunct/>
              <w:adjustRightInd w:val="0"/>
              <w:snapToGrid w:val="0"/>
              <w:jc w:val="center"/>
              <w:rPr>
                <w:kern w:val="0"/>
                <w:sz w:val="18"/>
                <w:szCs w:val="18"/>
              </w:rPr>
            </w:pPr>
          </w:p>
        </w:tc>
        <w:tc>
          <w:tcPr>
            <w:tcW w:w="1319" w:type="dxa"/>
            <w:vAlign w:val="center"/>
          </w:tcPr>
          <w:p w:rsidR="00B67A16" w:rsidRDefault="00B67A16" w:rsidP="00647510">
            <w:pPr>
              <w:topLinePunct/>
              <w:adjustRightInd w:val="0"/>
              <w:snapToGrid w:val="0"/>
              <w:jc w:val="center"/>
              <w:rPr>
                <w:kern w:val="0"/>
                <w:sz w:val="18"/>
                <w:szCs w:val="18"/>
              </w:rPr>
            </w:pPr>
            <w:r>
              <w:rPr>
                <w:kern w:val="0"/>
                <w:sz w:val="18"/>
                <w:szCs w:val="18"/>
              </w:rPr>
              <w:t>1.0</w:t>
            </w:r>
          </w:p>
        </w:tc>
      </w:tr>
      <w:tr w:rsidR="00B67A16" w:rsidTr="00647510">
        <w:trPr>
          <w:cantSplit/>
          <w:trHeight w:val="340"/>
          <w:jc w:val="center"/>
        </w:trPr>
        <w:tc>
          <w:tcPr>
            <w:tcW w:w="1573" w:type="dxa"/>
            <w:vAlign w:val="center"/>
          </w:tcPr>
          <w:p w:rsidR="00B67A16" w:rsidRDefault="00B67A16" w:rsidP="00647510">
            <w:pPr>
              <w:topLinePunct/>
              <w:adjustRightInd w:val="0"/>
              <w:snapToGrid w:val="0"/>
              <w:jc w:val="center"/>
              <w:rPr>
                <w:kern w:val="0"/>
                <w:sz w:val="18"/>
                <w:szCs w:val="18"/>
              </w:rPr>
            </w:pPr>
            <w:r>
              <w:rPr>
                <w:kern w:val="0"/>
                <w:sz w:val="18"/>
                <w:szCs w:val="18"/>
              </w:rPr>
              <w:t>＜</w:t>
            </w:r>
            <w:r>
              <w:rPr>
                <w:kern w:val="0"/>
                <w:sz w:val="18"/>
                <w:szCs w:val="18"/>
              </w:rPr>
              <w:t>60</w:t>
            </w:r>
          </w:p>
        </w:tc>
        <w:tc>
          <w:tcPr>
            <w:tcW w:w="1573" w:type="dxa"/>
            <w:vAlign w:val="center"/>
          </w:tcPr>
          <w:p w:rsidR="00B67A16" w:rsidRDefault="00B67A16" w:rsidP="00647510">
            <w:pPr>
              <w:topLinePunct/>
              <w:adjustRightInd w:val="0"/>
              <w:snapToGrid w:val="0"/>
              <w:jc w:val="center"/>
              <w:rPr>
                <w:kern w:val="0"/>
                <w:sz w:val="18"/>
                <w:szCs w:val="18"/>
              </w:rPr>
            </w:pPr>
            <w:r>
              <w:rPr>
                <w:kern w:val="0"/>
                <w:sz w:val="18"/>
                <w:szCs w:val="18"/>
              </w:rPr>
              <w:t>不及格</w:t>
            </w:r>
          </w:p>
        </w:tc>
        <w:tc>
          <w:tcPr>
            <w:tcW w:w="1574" w:type="dxa"/>
            <w:vAlign w:val="center"/>
          </w:tcPr>
          <w:p w:rsidR="00B67A16" w:rsidRDefault="00B67A16" w:rsidP="00647510">
            <w:pPr>
              <w:topLinePunct/>
              <w:adjustRightInd w:val="0"/>
              <w:snapToGrid w:val="0"/>
              <w:jc w:val="center"/>
              <w:rPr>
                <w:kern w:val="0"/>
                <w:sz w:val="18"/>
                <w:szCs w:val="18"/>
              </w:rPr>
            </w:pPr>
            <w:r>
              <w:rPr>
                <w:kern w:val="0"/>
                <w:sz w:val="18"/>
                <w:szCs w:val="18"/>
              </w:rPr>
              <w:t>不通过或不</w:t>
            </w:r>
            <w:r>
              <w:rPr>
                <w:rFonts w:hint="eastAsia"/>
                <w:kern w:val="0"/>
                <w:sz w:val="18"/>
                <w:szCs w:val="18"/>
              </w:rPr>
              <w:t>合格</w:t>
            </w:r>
          </w:p>
        </w:tc>
        <w:tc>
          <w:tcPr>
            <w:tcW w:w="1319" w:type="dxa"/>
            <w:vAlign w:val="center"/>
          </w:tcPr>
          <w:p w:rsidR="00B67A16" w:rsidRDefault="00B67A16" w:rsidP="00647510">
            <w:pPr>
              <w:topLinePunct/>
              <w:adjustRightInd w:val="0"/>
              <w:snapToGrid w:val="0"/>
              <w:jc w:val="center"/>
              <w:rPr>
                <w:kern w:val="0"/>
                <w:sz w:val="18"/>
                <w:szCs w:val="18"/>
              </w:rPr>
            </w:pPr>
            <w:r>
              <w:rPr>
                <w:kern w:val="0"/>
                <w:sz w:val="18"/>
                <w:szCs w:val="18"/>
              </w:rPr>
              <w:t>0.0</w:t>
            </w:r>
          </w:p>
        </w:tc>
      </w:tr>
    </w:tbl>
    <w:p w:rsidR="00B67A16" w:rsidRDefault="00B67A16" w:rsidP="00B67A16">
      <w:pPr>
        <w:topLinePunct/>
        <w:adjustRightInd w:val="0"/>
        <w:snapToGrid w:val="0"/>
        <w:spacing w:beforeLines="50" w:line="288" w:lineRule="auto"/>
        <w:ind w:firstLineChars="200" w:firstLine="420"/>
        <w:rPr>
          <w:kern w:val="0"/>
          <w:szCs w:val="21"/>
        </w:rPr>
      </w:pPr>
      <w:r>
        <w:rPr>
          <w:kern w:val="0"/>
          <w:szCs w:val="21"/>
        </w:rPr>
        <w:t>研究生所修课程的</w:t>
      </w:r>
      <w:r>
        <w:rPr>
          <w:kern w:val="0"/>
          <w:szCs w:val="21"/>
        </w:rPr>
        <w:t>GPA</w:t>
      </w:r>
      <w:r>
        <w:rPr>
          <w:kern w:val="0"/>
          <w:szCs w:val="21"/>
        </w:rPr>
        <w:t>基于</w:t>
      </w:r>
      <w:r>
        <w:rPr>
          <w:kern w:val="0"/>
          <w:szCs w:val="21"/>
        </w:rPr>
        <w:t>GPA</w:t>
      </w:r>
      <w:r>
        <w:rPr>
          <w:kern w:val="0"/>
          <w:szCs w:val="21"/>
        </w:rPr>
        <w:t>统计源课程计算，计算公式为：</w:t>
      </w:r>
    </w:p>
    <w:p w:rsidR="00B67A16" w:rsidRDefault="00B67A16" w:rsidP="00B67A16">
      <w:pPr>
        <w:topLinePunct/>
        <w:adjustRightInd w:val="0"/>
        <w:snapToGrid w:val="0"/>
        <w:spacing w:line="288" w:lineRule="auto"/>
        <w:jc w:val="center"/>
        <w:rPr>
          <w:szCs w:val="21"/>
        </w:rPr>
      </w:pPr>
      <w:r>
        <w:rPr>
          <w:noProof/>
          <w:szCs w:val="21"/>
        </w:rPr>
        <w:drawing>
          <wp:inline distT="0" distB="0" distL="0" distR="0">
            <wp:extent cx="1730375" cy="497840"/>
            <wp:effectExtent l="19050" t="0" r="3175" b="0"/>
            <wp:docPr id="1" name="图片 2" descr="https://www.gs.sjtu.edu.cn/__local/9/4C/FF/2B27606E426218DECA05E7456AF_BA3F34EB_8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ttps://www.gs.sjtu.edu.cn/__local/9/4C/FF/2B27606E426218DECA05E7456AF_BA3F34EB_868.png"/>
                    <pic:cNvPicPr>
                      <a:picLocks noChangeAspect="1" noChangeArrowheads="1"/>
                    </pic:cNvPicPr>
                  </pic:nvPicPr>
                  <pic:blipFill>
                    <a:blip r:embed="rId4" cstate="print"/>
                    <a:srcRect l="9767" t="13055" r="16533" b="13959"/>
                    <a:stretch>
                      <a:fillRect/>
                    </a:stretch>
                  </pic:blipFill>
                  <pic:spPr bwMode="auto">
                    <a:xfrm>
                      <a:off x="0" y="0"/>
                      <a:ext cx="1730375" cy="497840"/>
                    </a:xfrm>
                    <a:prstGeom prst="rect">
                      <a:avLst/>
                    </a:prstGeom>
                    <a:noFill/>
                    <a:ln w="9525">
                      <a:noFill/>
                      <a:miter lim="800000"/>
                      <a:headEnd/>
                      <a:tailEnd/>
                    </a:ln>
                  </pic:spPr>
                </pic:pic>
              </a:graphicData>
            </a:graphic>
          </wp:inline>
        </w:drawing>
      </w:r>
    </w:p>
    <w:p w:rsidR="00B67A16" w:rsidRDefault="00B67A16" w:rsidP="00B67A16">
      <w:pPr>
        <w:topLinePunct/>
        <w:adjustRightInd w:val="0"/>
        <w:snapToGrid w:val="0"/>
        <w:spacing w:line="276" w:lineRule="auto"/>
        <w:ind w:firstLineChars="200" w:firstLine="420"/>
        <w:rPr>
          <w:szCs w:val="21"/>
        </w:rPr>
      </w:pPr>
      <w:r>
        <w:rPr>
          <w:rFonts w:eastAsia="黑体"/>
          <w:bCs/>
          <w:szCs w:val="21"/>
        </w:rPr>
        <w:t>第二十三条</w:t>
      </w:r>
      <w:r>
        <w:rPr>
          <w:rFonts w:eastAsia="黑体"/>
          <w:bCs/>
          <w:szCs w:val="21"/>
        </w:rPr>
        <w:t xml:space="preserve">  </w:t>
      </w:r>
      <w:r>
        <w:rPr>
          <w:szCs w:val="21"/>
        </w:rPr>
        <w:t>任课教师和阅卷教师应实事求是、客观公正地评判研究生的课程成绩，对研究生的公共基础课和较多人数修读的专业课，应保持成绩的正态分布。研究生课程总成绩的评定，既可以最后的考试成绩为依据，也可以综合平时成绩（包括测验、作业、报告、实验和实践等）和期末考试成绩加以评定。</w:t>
      </w:r>
    </w:p>
    <w:p w:rsidR="00B67A16" w:rsidRDefault="00B67A16" w:rsidP="00B67A16">
      <w:pPr>
        <w:topLinePunct/>
        <w:adjustRightInd w:val="0"/>
        <w:snapToGrid w:val="0"/>
        <w:spacing w:line="276" w:lineRule="auto"/>
        <w:ind w:firstLineChars="200" w:firstLine="420"/>
        <w:rPr>
          <w:szCs w:val="21"/>
        </w:rPr>
      </w:pPr>
      <w:r>
        <w:rPr>
          <w:rFonts w:eastAsia="黑体"/>
          <w:bCs/>
          <w:szCs w:val="21"/>
        </w:rPr>
        <w:lastRenderedPageBreak/>
        <w:t>第二十四条</w:t>
      </w:r>
      <w:r>
        <w:rPr>
          <w:rFonts w:eastAsia="黑体"/>
          <w:bCs/>
          <w:szCs w:val="21"/>
        </w:rPr>
        <w:t xml:space="preserve">  </w:t>
      </w:r>
      <w:r>
        <w:rPr>
          <w:szCs w:val="21"/>
        </w:rPr>
        <w:t>主讲教师应在课程结束二周内（非学位</w:t>
      </w:r>
      <w:proofErr w:type="gramStart"/>
      <w:r>
        <w:rPr>
          <w:szCs w:val="21"/>
        </w:rPr>
        <w:t>课考核如</w:t>
      </w:r>
      <w:proofErr w:type="gramEnd"/>
      <w:r>
        <w:rPr>
          <w:szCs w:val="21"/>
        </w:rPr>
        <w:t>为论文或报告类作业，应在课程结束四周内）在网上登记课程成绩，打印教学班成绩单并确认签名后，连同考卷及参考答案、备用卷及参考答案（密封）、平时成绩记录及说明等原始材料一起交所在学院（系）研究生教务办审核并存档；成绩单加盖所在学院（系）公章后上报研究生院，由研究生院备案存档。延误登记课程成绩，按教学事故处理。考核成绩一旦登记提交后，任何人不得随意改动。如确系误登误算或其他原因须改动成绩，应由主讲教师出具书面材料说明情况，经开课学院同意，报研究生院批准后方可修改。</w:t>
      </w:r>
    </w:p>
    <w:p w:rsidR="00B67A16" w:rsidRDefault="00B67A16" w:rsidP="00B67A16">
      <w:pPr>
        <w:topLinePunct/>
        <w:adjustRightInd w:val="0"/>
        <w:snapToGrid w:val="0"/>
        <w:spacing w:line="276" w:lineRule="auto"/>
        <w:ind w:firstLineChars="200" w:firstLine="420"/>
        <w:rPr>
          <w:szCs w:val="21"/>
        </w:rPr>
      </w:pPr>
      <w:r>
        <w:rPr>
          <w:rFonts w:eastAsia="黑体"/>
          <w:bCs/>
          <w:szCs w:val="21"/>
        </w:rPr>
        <w:t>第二十五条</w:t>
      </w:r>
      <w:r>
        <w:rPr>
          <w:rFonts w:eastAsia="黑体"/>
          <w:bCs/>
          <w:szCs w:val="21"/>
        </w:rPr>
        <w:t xml:space="preserve">  </w:t>
      </w:r>
      <w:r>
        <w:rPr>
          <w:szCs w:val="21"/>
        </w:rPr>
        <w:t>研究生课程考试的原始资料，如试题、试卷（包括口试记录、考核论文等</w:t>
      </w:r>
      <w:r>
        <w:rPr>
          <w:szCs w:val="21"/>
        </w:rPr>
        <w:t>)</w:t>
      </w:r>
      <w:r>
        <w:rPr>
          <w:szCs w:val="21"/>
        </w:rPr>
        <w:t>及参考答案、备用卷及参考答案（密封）、大作业、课程论文、课程报告等均由该课程教学所在单位研究生教务办负责保存，保存期限为五年。</w:t>
      </w:r>
    </w:p>
    <w:p w:rsidR="00B67A16" w:rsidRDefault="00B67A16" w:rsidP="00B67A16">
      <w:pPr>
        <w:pStyle w:val="2"/>
        <w:spacing w:before="312" w:after="156"/>
      </w:pPr>
      <w:r>
        <w:t>第八</w:t>
      </w:r>
      <w:r>
        <w:rPr>
          <w:bCs/>
        </w:rPr>
        <w:t>章</w:t>
      </w:r>
      <w:r>
        <w:rPr>
          <w:bCs/>
        </w:rPr>
        <w:t xml:space="preserve">  </w:t>
      </w:r>
      <w:r>
        <w:t>免修、缓考、补考、重修与成绩复议</w:t>
      </w:r>
    </w:p>
    <w:p w:rsidR="00B67A16" w:rsidRDefault="00B67A16" w:rsidP="00B67A16">
      <w:pPr>
        <w:topLinePunct/>
        <w:adjustRightInd w:val="0"/>
        <w:snapToGrid w:val="0"/>
        <w:spacing w:line="276" w:lineRule="auto"/>
        <w:ind w:firstLineChars="200" w:firstLine="420"/>
        <w:rPr>
          <w:szCs w:val="21"/>
        </w:rPr>
      </w:pPr>
      <w:r>
        <w:rPr>
          <w:rFonts w:eastAsia="黑体"/>
          <w:bCs/>
          <w:szCs w:val="21"/>
        </w:rPr>
        <w:t>第二十六条</w:t>
      </w:r>
      <w:r>
        <w:rPr>
          <w:rFonts w:eastAsia="黑体"/>
          <w:bCs/>
          <w:szCs w:val="21"/>
        </w:rPr>
        <w:t xml:space="preserve">  </w:t>
      </w:r>
      <w:r>
        <w:rPr>
          <w:szCs w:val="21"/>
        </w:rPr>
        <w:t>研究生要免修培养计划中的课程，应当事先提出书面申请，并提供已学习过该课程或到达该课程免修条件等可以免修该课程的证明材料，经导师同意、院所批准，报研究生院核准备案后，可以免修，但应当参加该门课程的统一考核，以考核成绩记入成绩册。根据《上海海洋大学非英语专业研究生公共英语课程教学管理规定》，申请免修英语类课程的研究生可以选择免考，成绩记为</w:t>
      </w:r>
      <w:r>
        <w:rPr>
          <w:szCs w:val="21"/>
        </w:rPr>
        <w:t>75</w:t>
      </w:r>
      <w:r>
        <w:rPr>
          <w:szCs w:val="21"/>
        </w:rPr>
        <w:t>分；也可以选择免修不免考以考核成绩记入成绩册。达到研究生学位外语课程考试或其他培养环节免试条件且准予免试的，百分制记分的记为</w:t>
      </w:r>
      <w:r>
        <w:rPr>
          <w:szCs w:val="21"/>
        </w:rPr>
        <w:t>85</w:t>
      </w:r>
      <w:r>
        <w:rPr>
          <w:szCs w:val="21"/>
        </w:rPr>
        <w:t>分，五级制记分的记为</w:t>
      </w:r>
      <w:r>
        <w:rPr>
          <w:rFonts w:ascii="宋体" w:hAnsi="宋体"/>
          <w:szCs w:val="21"/>
        </w:rPr>
        <w:t>“</w:t>
      </w:r>
      <w:r>
        <w:rPr>
          <w:szCs w:val="21"/>
        </w:rPr>
        <w:t>优秀</w:t>
      </w:r>
      <w:r>
        <w:rPr>
          <w:rFonts w:ascii="宋体" w:hAnsi="宋体"/>
          <w:szCs w:val="21"/>
        </w:rPr>
        <w:t>”</w:t>
      </w:r>
      <w:r>
        <w:rPr>
          <w:szCs w:val="21"/>
        </w:rPr>
        <w:t>，两级制记分的记为</w:t>
      </w:r>
      <w:r>
        <w:rPr>
          <w:rFonts w:ascii="宋体" w:hAnsi="宋体"/>
          <w:szCs w:val="21"/>
        </w:rPr>
        <w:t>“</w:t>
      </w:r>
      <w:r>
        <w:rPr>
          <w:szCs w:val="21"/>
        </w:rPr>
        <w:t>通过</w:t>
      </w:r>
      <w:r>
        <w:rPr>
          <w:rFonts w:ascii="宋体" w:hAnsi="宋体"/>
          <w:szCs w:val="21"/>
        </w:rPr>
        <w:t>”</w:t>
      </w:r>
      <w:r>
        <w:rPr>
          <w:szCs w:val="21"/>
        </w:rPr>
        <w:t>或</w:t>
      </w:r>
      <w:r>
        <w:rPr>
          <w:rFonts w:ascii="宋体" w:hAnsi="宋体"/>
          <w:szCs w:val="21"/>
        </w:rPr>
        <w:t>“</w:t>
      </w:r>
      <w:r>
        <w:rPr>
          <w:szCs w:val="21"/>
        </w:rPr>
        <w:t>合格</w:t>
      </w:r>
      <w:r>
        <w:rPr>
          <w:rFonts w:ascii="宋体" w:hAnsi="宋体"/>
          <w:szCs w:val="21"/>
        </w:rPr>
        <w:t>”</w:t>
      </w:r>
      <w:r>
        <w:rPr>
          <w:szCs w:val="21"/>
        </w:rPr>
        <w:t>。</w:t>
      </w:r>
    </w:p>
    <w:p w:rsidR="00B67A16" w:rsidRDefault="00B67A16" w:rsidP="00B67A16">
      <w:pPr>
        <w:topLinePunct/>
        <w:adjustRightInd w:val="0"/>
        <w:snapToGrid w:val="0"/>
        <w:spacing w:line="276" w:lineRule="auto"/>
        <w:ind w:firstLineChars="200" w:firstLine="420"/>
        <w:rPr>
          <w:szCs w:val="21"/>
        </w:rPr>
      </w:pPr>
      <w:r>
        <w:rPr>
          <w:rFonts w:eastAsia="黑体"/>
          <w:bCs/>
          <w:szCs w:val="21"/>
        </w:rPr>
        <w:t>第二十七条</w:t>
      </w:r>
      <w:r>
        <w:rPr>
          <w:rFonts w:eastAsia="黑体"/>
          <w:bCs/>
          <w:szCs w:val="21"/>
        </w:rPr>
        <w:t xml:space="preserve">  </w:t>
      </w:r>
      <w:r>
        <w:rPr>
          <w:szCs w:val="21"/>
        </w:rPr>
        <w:t>研究生因特殊原因不能按时参加考试，必须事先书面请假（填写</w:t>
      </w:r>
      <w:r>
        <w:rPr>
          <w:rFonts w:ascii="宋体" w:hAnsi="宋体"/>
          <w:szCs w:val="21"/>
        </w:rPr>
        <w:t>“</w:t>
      </w:r>
      <w:r>
        <w:rPr>
          <w:szCs w:val="21"/>
        </w:rPr>
        <w:t>上海海洋大学研究生课程或培养环节延缓申请表</w:t>
      </w:r>
      <w:r>
        <w:rPr>
          <w:rFonts w:ascii="宋体" w:hAnsi="宋体"/>
          <w:szCs w:val="21"/>
        </w:rPr>
        <w:t>”</w:t>
      </w:r>
      <w:r>
        <w:rPr>
          <w:szCs w:val="21"/>
        </w:rPr>
        <w:t>），经学院分管研究生教育副院长审查批准后方可缓考。缓考的研究生应参加下一次该课程的考试。学院应及时将当学期</w:t>
      </w:r>
      <w:r>
        <w:rPr>
          <w:rFonts w:ascii="宋体" w:hAnsi="宋体"/>
          <w:szCs w:val="21"/>
        </w:rPr>
        <w:t>“</w:t>
      </w:r>
      <w:r>
        <w:rPr>
          <w:szCs w:val="21"/>
        </w:rPr>
        <w:t>研究生缓考申请表</w:t>
      </w:r>
      <w:r>
        <w:rPr>
          <w:rFonts w:ascii="宋体" w:hAnsi="宋体"/>
          <w:szCs w:val="21"/>
        </w:rPr>
        <w:t>”</w:t>
      </w:r>
      <w:r>
        <w:rPr>
          <w:szCs w:val="21"/>
        </w:rPr>
        <w:t>收集汇总后报研究生院备案。</w:t>
      </w:r>
    </w:p>
    <w:p w:rsidR="00B67A16" w:rsidRDefault="00B67A16" w:rsidP="00B67A16">
      <w:pPr>
        <w:topLinePunct/>
        <w:adjustRightInd w:val="0"/>
        <w:snapToGrid w:val="0"/>
        <w:spacing w:line="276" w:lineRule="auto"/>
        <w:ind w:firstLineChars="200" w:firstLine="420"/>
        <w:rPr>
          <w:szCs w:val="21"/>
        </w:rPr>
      </w:pPr>
      <w:r>
        <w:rPr>
          <w:rFonts w:eastAsia="黑体"/>
          <w:bCs/>
          <w:szCs w:val="21"/>
        </w:rPr>
        <w:t>第二十八条</w:t>
      </w:r>
      <w:r>
        <w:rPr>
          <w:rFonts w:eastAsia="黑体"/>
          <w:bCs/>
          <w:szCs w:val="21"/>
        </w:rPr>
        <w:t xml:space="preserve">  </w:t>
      </w:r>
      <w:r>
        <w:rPr>
          <w:szCs w:val="21"/>
        </w:rPr>
        <w:t>研究生学位课程考核不及格，应当参加补考，补考及格及以上、通过或合格的成绩一律记为</w:t>
      </w:r>
      <w:r>
        <w:rPr>
          <w:szCs w:val="21"/>
        </w:rPr>
        <w:t>60</w:t>
      </w:r>
      <w:r>
        <w:rPr>
          <w:szCs w:val="21"/>
        </w:rPr>
        <w:t>分。补考仍不及格的，该课程成绩暂</w:t>
      </w:r>
      <w:proofErr w:type="gramStart"/>
      <w:r>
        <w:rPr>
          <w:szCs w:val="21"/>
        </w:rPr>
        <w:t>取最高</w:t>
      </w:r>
      <w:proofErr w:type="gramEnd"/>
      <w:r>
        <w:rPr>
          <w:szCs w:val="21"/>
        </w:rPr>
        <w:t>值，给予一次重修机会。非学位课程考核不及格，可重修一次。重修后考核成绩及格及以上、通过或合格的成绩一律记为</w:t>
      </w:r>
      <w:r>
        <w:rPr>
          <w:szCs w:val="21"/>
        </w:rPr>
        <w:t>60</w:t>
      </w:r>
      <w:r>
        <w:rPr>
          <w:szCs w:val="21"/>
        </w:rPr>
        <w:t>分，</w:t>
      </w:r>
      <w:proofErr w:type="gramStart"/>
      <w:r>
        <w:rPr>
          <w:szCs w:val="21"/>
        </w:rPr>
        <w:t>重修仍</w:t>
      </w:r>
      <w:proofErr w:type="gramEnd"/>
      <w:r>
        <w:rPr>
          <w:szCs w:val="21"/>
        </w:rPr>
        <w:t>不及格的，该课程成绩</w:t>
      </w:r>
      <w:proofErr w:type="gramStart"/>
      <w:r>
        <w:rPr>
          <w:szCs w:val="21"/>
        </w:rPr>
        <w:t>取最高</w:t>
      </w:r>
      <w:proofErr w:type="gramEnd"/>
      <w:r>
        <w:rPr>
          <w:szCs w:val="21"/>
        </w:rPr>
        <w:t>值。课程考核及格及以上、通过或合格的均不允许重修。</w:t>
      </w:r>
    </w:p>
    <w:p w:rsidR="00B67A16" w:rsidRDefault="00B67A16" w:rsidP="00B67A16">
      <w:pPr>
        <w:topLinePunct/>
        <w:adjustRightInd w:val="0"/>
        <w:snapToGrid w:val="0"/>
        <w:spacing w:line="276" w:lineRule="auto"/>
        <w:ind w:firstLineChars="200" w:firstLine="420"/>
        <w:rPr>
          <w:szCs w:val="21"/>
        </w:rPr>
      </w:pPr>
      <w:r>
        <w:rPr>
          <w:rFonts w:eastAsia="黑体"/>
          <w:bCs/>
          <w:szCs w:val="21"/>
        </w:rPr>
        <w:t>第二十九条</w:t>
      </w:r>
      <w:r>
        <w:rPr>
          <w:rFonts w:eastAsia="黑体"/>
          <w:bCs/>
          <w:szCs w:val="21"/>
        </w:rPr>
        <w:t xml:space="preserve">  </w:t>
      </w:r>
      <w:r>
        <w:rPr>
          <w:szCs w:val="21"/>
        </w:rPr>
        <w:t>研究生严重违反考场纪律和考试作弊者，该课程成绩无效，以零分记，并视其违纪或作弊情节，给予相应的纪律处分。给予警告、严重警告、记过及留校察看处分，经教育表现较好的，经本人申请，学院审核，报研究生院批准，允许补考或重修。</w:t>
      </w:r>
    </w:p>
    <w:p w:rsidR="00B67A16" w:rsidRDefault="00B67A16" w:rsidP="00B67A16">
      <w:pPr>
        <w:topLinePunct/>
        <w:adjustRightInd w:val="0"/>
        <w:snapToGrid w:val="0"/>
        <w:spacing w:line="276" w:lineRule="auto"/>
        <w:ind w:firstLineChars="200" w:firstLine="420"/>
        <w:rPr>
          <w:szCs w:val="21"/>
        </w:rPr>
      </w:pPr>
      <w:r>
        <w:rPr>
          <w:rFonts w:eastAsia="黑体"/>
          <w:szCs w:val="21"/>
        </w:rPr>
        <w:t>第三十条</w:t>
      </w:r>
      <w:r>
        <w:rPr>
          <w:rFonts w:eastAsia="黑体"/>
          <w:szCs w:val="21"/>
        </w:rPr>
        <w:t xml:space="preserve">  </w:t>
      </w:r>
      <w:r>
        <w:rPr>
          <w:szCs w:val="21"/>
        </w:rPr>
        <w:t>研究生对课程成绩有异议，可在成绩登记后</w:t>
      </w:r>
      <w:r>
        <w:rPr>
          <w:szCs w:val="21"/>
        </w:rPr>
        <w:t>15</w:t>
      </w:r>
      <w:r>
        <w:rPr>
          <w:szCs w:val="21"/>
        </w:rPr>
        <w:t>个工作日内提出成绩复议申请。补考和重修成绩不作复议。</w:t>
      </w:r>
    </w:p>
    <w:p w:rsidR="00B67A16" w:rsidRDefault="00B67A16" w:rsidP="00B67A16">
      <w:pPr>
        <w:pStyle w:val="2"/>
        <w:spacing w:before="312" w:after="156"/>
      </w:pPr>
      <w:r>
        <w:t>第九章</w:t>
      </w:r>
      <w:r>
        <w:t xml:space="preserve">  </w:t>
      </w:r>
      <w:r>
        <w:t>境内外校际交流院校的课程认定与学分转换</w:t>
      </w:r>
    </w:p>
    <w:p w:rsidR="00B67A16" w:rsidRDefault="00B67A16" w:rsidP="00B67A16">
      <w:pPr>
        <w:topLinePunct/>
        <w:adjustRightInd w:val="0"/>
        <w:snapToGrid w:val="0"/>
        <w:spacing w:line="276" w:lineRule="auto"/>
        <w:ind w:firstLineChars="200" w:firstLine="420"/>
        <w:rPr>
          <w:szCs w:val="21"/>
        </w:rPr>
      </w:pPr>
      <w:r>
        <w:rPr>
          <w:rFonts w:eastAsia="黑体"/>
          <w:bCs/>
          <w:szCs w:val="21"/>
        </w:rPr>
        <w:t>第三十一条</w:t>
      </w:r>
      <w:r>
        <w:rPr>
          <w:rFonts w:eastAsia="黑体"/>
          <w:bCs/>
          <w:szCs w:val="21"/>
        </w:rPr>
        <w:t xml:space="preserve">  </w:t>
      </w:r>
      <w:r>
        <w:rPr>
          <w:szCs w:val="21"/>
        </w:rPr>
        <w:t>研究生可以根据学校签订的境内外校际间合作协议或经研究生院的核准跨校修读线下课程或开放式网络课程，但所修课程应在个人培养计划中体现或属于互认学分课程范畴内，并且课程须由对方管理部门认可方可予以承认。</w:t>
      </w:r>
    </w:p>
    <w:p w:rsidR="00B67A16" w:rsidRDefault="00B67A16" w:rsidP="00B67A16">
      <w:pPr>
        <w:topLinePunct/>
        <w:adjustRightInd w:val="0"/>
        <w:snapToGrid w:val="0"/>
        <w:spacing w:line="276" w:lineRule="auto"/>
        <w:ind w:firstLineChars="200" w:firstLine="420"/>
        <w:rPr>
          <w:szCs w:val="21"/>
        </w:rPr>
      </w:pPr>
      <w:r>
        <w:rPr>
          <w:rFonts w:eastAsia="黑体"/>
          <w:bCs/>
          <w:szCs w:val="21"/>
        </w:rPr>
        <w:t>第三十二条</w:t>
      </w:r>
      <w:r>
        <w:rPr>
          <w:rFonts w:eastAsia="黑体"/>
          <w:bCs/>
          <w:szCs w:val="21"/>
        </w:rPr>
        <w:t xml:space="preserve">  </w:t>
      </w:r>
      <w:r>
        <w:rPr>
          <w:szCs w:val="21"/>
        </w:rPr>
        <w:t>课程认定和学分转换的基本原则</w:t>
      </w:r>
    </w:p>
    <w:p w:rsidR="00B67A16" w:rsidRDefault="00B67A16" w:rsidP="00B67A16">
      <w:pPr>
        <w:topLinePunct/>
        <w:adjustRightInd w:val="0"/>
        <w:snapToGrid w:val="0"/>
        <w:spacing w:line="276" w:lineRule="auto"/>
        <w:ind w:firstLine="420"/>
        <w:rPr>
          <w:szCs w:val="21"/>
        </w:rPr>
      </w:pPr>
      <w:r>
        <w:rPr>
          <w:szCs w:val="21"/>
        </w:rPr>
        <w:t xml:space="preserve">1. </w:t>
      </w:r>
      <w:r>
        <w:rPr>
          <w:szCs w:val="21"/>
        </w:rPr>
        <w:t>接受学校或其中某学科（专业）学术声誉（课程水平）、学术地位与我校相当。</w:t>
      </w:r>
    </w:p>
    <w:p w:rsidR="00B67A16" w:rsidRDefault="00B67A16" w:rsidP="00B67A16">
      <w:pPr>
        <w:topLinePunct/>
        <w:adjustRightInd w:val="0"/>
        <w:snapToGrid w:val="0"/>
        <w:spacing w:line="276" w:lineRule="auto"/>
        <w:ind w:firstLineChars="200" w:firstLine="420"/>
        <w:rPr>
          <w:szCs w:val="21"/>
        </w:rPr>
      </w:pPr>
      <w:r>
        <w:rPr>
          <w:szCs w:val="21"/>
        </w:rPr>
        <w:t xml:space="preserve">2. </w:t>
      </w:r>
      <w:r>
        <w:rPr>
          <w:szCs w:val="21"/>
        </w:rPr>
        <w:t>接受学校课程符合我校相应学科专业培养方案对学生培养的要求。</w:t>
      </w:r>
    </w:p>
    <w:p w:rsidR="00B67A16" w:rsidRDefault="00B67A16" w:rsidP="00B67A16">
      <w:pPr>
        <w:topLinePunct/>
        <w:adjustRightInd w:val="0"/>
        <w:snapToGrid w:val="0"/>
        <w:spacing w:line="276" w:lineRule="auto"/>
        <w:ind w:firstLineChars="200" w:firstLine="420"/>
        <w:rPr>
          <w:szCs w:val="21"/>
        </w:rPr>
      </w:pPr>
      <w:r>
        <w:rPr>
          <w:szCs w:val="21"/>
        </w:rPr>
        <w:t xml:space="preserve">3. </w:t>
      </w:r>
      <w:r>
        <w:rPr>
          <w:szCs w:val="21"/>
        </w:rPr>
        <w:t>学分认定参照我校学分与学时对应关系，即</w:t>
      </w:r>
      <w:r>
        <w:rPr>
          <w:szCs w:val="21"/>
        </w:rPr>
        <w:t>1</w:t>
      </w:r>
      <w:r>
        <w:rPr>
          <w:szCs w:val="21"/>
        </w:rPr>
        <w:t>学分对应</w:t>
      </w:r>
      <w:r>
        <w:rPr>
          <w:szCs w:val="21"/>
        </w:rPr>
        <w:t>16</w:t>
      </w:r>
      <w:r>
        <w:rPr>
          <w:szCs w:val="21"/>
        </w:rPr>
        <w:t>学时。</w:t>
      </w:r>
    </w:p>
    <w:p w:rsidR="00B67A16" w:rsidRDefault="00B67A16" w:rsidP="00B67A16">
      <w:pPr>
        <w:topLinePunct/>
        <w:adjustRightInd w:val="0"/>
        <w:snapToGrid w:val="0"/>
        <w:spacing w:line="288" w:lineRule="auto"/>
        <w:ind w:firstLineChars="200" w:firstLine="420"/>
        <w:rPr>
          <w:szCs w:val="21"/>
        </w:rPr>
      </w:pPr>
      <w:r>
        <w:rPr>
          <w:rFonts w:eastAsia="黑体"/>
          <w:bCs/>
          <w:szCs w:val="21"/>
        </w:rPr>
        <w:t>第三十三条</w:t>
      </w:r>
      <w:r>
        <w:rPr>
          <w:rFonts w:eastAsia="黑体"/>
          <w:bCs/>
          <w:szCs w:val="21"/>
        </w:rPr>
        <w:t xml:space="preserve">  </w:t>
      </w:r>
      <w:r>
        <w:rPr>
          <w:szCs w:val="21"/>
        </w:rPr>
        <w:t>课程认定和学分转换的范围</w:t>
      </w:r>
    </w:p>
    <w:p w:rsidR="00B67A16" w:rsidRDefault="00B67A16" w:rsidP="00B67A16">
      <w:pPr>
        <w:topLinePunct/>
        <w:adjustRightInd w:val="0"/>
        <w:snapToGrid w:val="0"/>
        <w:spacing w:line="288" w:lineRule="auto"/>
        <w:ind w:firstLineChars="200" w:firstLine="420"/>
        <w:rPr>
          <w:szCs w:val="21"/>
        </w:rPr>
      </w:pPr>
      <w:r>
        <w:rPr>
          <w:szCs w:val="21"/>
        </w:rPr>
        <w:lastRenderedPageBreak/>
        <w:t>经学院和研究生院批准，签署了交换协议，并在研究生院备案的校际学生交流项目所修学</w:t>
      </w:r>
      <w:proofErr w:type="gramStart"/>
      <w:r>
        <w:rPr>
          <w:szCs w:val="21"/>
        </w:rPr>
        <w:t>分按照</w:t>
      </w:r>
      <w:proofErr w:type="gramEnd"/>
      <w:r>
        <w:rPr>
          <w:szCs w:val="21"/>
        </w:rPr>
        <w:t>交换协议予以转换和认可。</w:t>
      </w:r>
    </w:p>
    <w:p w:rsidR="00B67A16" w:rsidRDefault="00B67A16" w:rsidP="00B67A16">
      <w:pPr>
        <w:topLinePunct/>
        <w:adjustRightInd w:val="0"/>
        <w:snapToGrid w:val="0"/>
        <w:spacing w:line="288" w:lineRule="auto"/>
        <w:ind w:firstLineChars="200" w:firstLine="420"/>
        <w:rPr>
          <w:szCs w:val="21"/>
        </w:rPr>
      </w:pPr>
      <w:r>
        <w:rPr>
          <w:rFonts w:eastAsia="黑体"/>
          <w:bCs/>
          <w:szCs w:val="21"/>
        </w:rPr>
        <w:t>第三十四条</w:t>
      </w:r>
      <w:r>
        <w:rPr>
          <w:rFonts w:eastAsia="黑体"/>
          <w:bCs/>
          <w:szCs w:val="21"/>
        </w:rPr>
        <w:t xml:space="preserve">  </w:t>
      </w:r>
      <w:r>
        <w:rPr>
          <w:szCs w:val="21"/>
        </w:rPr>
        <w:t>课程成绩转换的原则</w:t>
      </w:r>
    </w:p>
    <w:p w:rsidR="00B67A16" w:rsidRDefault="00B67A16" w:rsidP="00B67A16">
      <w:pPr>
        <w:topLinePunct/>
        <w:adjustRightInd w:val="0"/>
        <w:snapToGrid w:val="0"/>
        <w:spacing w:line="288" w:lineRule="auto"/>
        <w:ind w:firstLine="420"/>
        <w:rPr>
          <w:szCs w:val="21"/>
        </w:rPr>
      </w:pPr>
      <w:r>
        <w:rPr>
          <w:szCs w:val="21"/>
        </w:rPr>
        <w:t xml:space="preserve">1. </w:t>
      </w:r>
      <w:r>
        <w:rPr>
          <w:szCs w:val="21"/>
        </w:rPr>
        <w:t>课程成绩以百分制登记的，该课程转换后的成绩按成绩提供学校给出的百分制成绩如实登录。</w:t>
      </w:r>
    </w:p>
    <w:p w:rsidR="00B67A16" w:rsidRDefault="00B67A16" w:rsidP="00B67A16">
      <w:pPr>
        <w:topLinePunct/>
        <w:adjustRightInd w:val="0"/>
        <w:snapToGrid w:val="0"/>
        <w:spacing w:line="288" w:lineRule="auto"/>
        <w:ind w:firstLine="420"/>
        <w:rPr>
          <w:szCs w:val="21"/>
        </w:rPr>
      </w:pPr>
      <w:r>
        <w:rPr>
          <w:szCs w:val="21"/>
        </w:rPr>
        <w:t xml:space="preserve">2. </w:t>
      </w:r>
      <w:r>
        <w:rPr>
          <w:szCs w:val="21"/>
        </w:rPr>
        <w:t>课程成绩以五级制等级</w:t>
      </w:r>
      <w:proofErr w:type="gramStart"/>
      <w:r>
        <w:rPr>
          <w:szCs w:val="21"/>
        </w:rPr>
        <w:t>分登记</w:t>
      </w:r>
      <w:proofErr w:type="gramEnd"/>
      <w:r>
        <w:rPr>
          <w:szCs w:val="21"/>
        </w:rPr>
        <w:t>的，该课程转换后的成绩可按五级制等级分登记，也可按照我校五级制等级分和百分制分数对应关系转换为百分制分数。</w:t>
      </w:r>
    </w:p>
    <w:p w:rsidR="00B67A16" w:rsidRDefault="00B67A16" w:rsidP="00B67A16">
      <w:pPr>
        <w:topLinePunct/>
        <w:adjustRightInd w:val="0"/>
        <w:snapToGrid w:val="0"/>
        <w:spacing w:line="288" w:lineRule="auto"/>
        <w:ind w:firstLine="420"/>
        <w:rPr>
          <w:szCs w:val="21"/>
        </w:rPr>
      </w:pPr>
      <w:r>
        <w:rPr>
          <w:szCs w:val="21"/>
        </w:rPr>
        <w:t xml:space="preserve">3. </w:t>
      </w:r>
      <w:r>
        <w:rPr>
          <w:szCs w:val="21"/>
        </w:rPr>
        <w:t>其他转换原则</w:t>
      </w:r>
    </w:p>
    <w:p w:rsidR="00B67A16" w:rsidRDefault="00B67A16" w:rsidP="00B67A16">
      <w:pPr>
        <w:topLinePunct/>
        <w:adjustRightInd w:val="0"/>
        <w:snapToGrid w:val="0"/>
        <w:spacing w:line="288" w:lineRule="auto"/>
        <w:ind w:firstLineChars="200" w:firstLine="420"/>
        <w:rPr>
          <w:szCs w:val="21"/>
        </w:rPr>
      </w:pPr>
      <w:r>
        <w:rPr>
          <w:szCs w:val="21"/>
        </w:rPr>
        <w:t>接受学校的课程成绩评定转换后，不得高于我校的课程成绩等级；经认定的部分接受学校的课程成绩转换可以低于我校相关成绩等级一个或两个级别。</w:t>
      </w:r>
    </w:p>
    <w:p w:rsidR="00B67A16" w:rsidRDefault="00B67A16" w:rsidP="00B67A16">
      <w:pPr>
        <w:topLinePunct/>
        <w:adjustRightInd w:val="0"/>
        <w:snapToGrid w:val="0"/>
        <w:spacing w:line="288" w:lineRule="auto"/>
        <w:ind w:firstLineChars="200" w:firstLine="420"/>
        <w:rPr>
          <w:szCs w:val="21"/>
        </w:rPr>
      </w:pPr>
      <w:r>
        <w:rPr>
          <w:rFonts w:eastAsia="黑体"/>
          <w:bCs/>
          <w:szCs w:val="21"/>
        </w:rPr>
        <w:t>第三十五条</w:t>
      </w:r>
      <w:r>
        <w:rPr>
          <w:rFonts w:eastAsia="黑体"/>
          <w:bCs/>
          <w:szCs w:val="21"/>
        </w:rPr>
        <w:t xml:space="preserve">  </w:t>
      </w:r>
      <w:r>
        <w:rPr>
          <w:szCs w:val="21"/>
        </w:rPr>
        <w:t>课程认定和学分转换的基本程序</w:t>
      </w:r>
    </w:p>
    <w:p w:rsidR="00B67A16" w:rsidRDefault="00B67A16" w:rsidP="00B67A16">
      <w:pPr>
        <w:topLinePunct/>
        <w:adjustRightInd w:val="0"/>
        <w:snapToGrid w:val="0"/>
        <w:spacing w:line="288" w:lineRule="auto"/>
        <w:ind w:firstLine="420"/>
        <w:rPr>
          <w:szCs w:val="21"/>
        </w:rPr>
      </w:pPr>
      <w:r>
        <w:rPr>
          <w:szCs w:val="21"/>
        </w:rPr>
        <w:t xml:space="preserve">1. </w:t>
      </w:r>
      <w:r>
        <w:rPr>
          <w:szCs w:val="21"/>
        </w:rPr>
        <w:t>学生申请</w:t>
      </w:r>
      <w:proofErr w:type="gramStart"/>
      <w:r>
        <w:rPr>
          <w:szCs w:val="21"/>
        </w:rPr>
        <w:t>赴接受</w:t>
      </w:r>
      <w:proofErr w:type="gramEnd"/>
      <w:r>
        <w:rPr>
          <w:szCs w:val="21"/>
        </w:rPr>
        <w:t>学校学习之前，需充分了解接受学校的课程设置，并对照我校培养方案，妥善安排自己的学习，书面提交学习计划报导师及所在学院主管领导批准备案。</w:t>
      </w:r>
    </w:p>
    <w:p w:rsidR="00B67A16" w:rsidRDefault="00B67A16" w:rsidP="00B67A16">
      <w:pPr>
        <w:topLinePunct/>
        <w:adjustRightInd w:val="0"/>
        <w:snapToGrid w:val="0"/>
        <w:spacing w:line="288" w:lineRule="auto"/>
        <w:ind w:firstLine="420"/>
        <w:rPr>
          <w:szCs w:val="21"/>
        </w:rPr>
      </w:pPr>
      <w:r>
        <w:rPr>
          <w:szCs w:val="21"/>
        </w:rPr>
        <w:t xml:space="preserve">2. </w:t>
      </w:r>
      <w:r>
        <w:rPr>
          <w:szCs w:val="21"/>
        </w:rPr>
        <w:t>学生学习期满返校后，向所在学院提出课程学分转换申请，并出具对方学校提供的成绩单和盖章（签字）的课程大纲或者课程简介。</w:t>
      </w:r>
    </w:p>
    <w:p w:rsidR="00B67A16" w:rsidRDefault="00B67A16" w:rsidP="00B67A16">
      <w:pPr>
        <w:topLinePunct/>
        <w:adjustRightInd w:val="0"/>
        <w:snapToGrid w:val="0"/>
        <w:spacing w:line="288" w:lineRule="auto"/>
        <w:ind w:firstLine="420"/>
        <w:rPr>
          <w:szCs w:val="21"/>
        </w:rPr>
      </w:pPr>
      <w:r>
        <w:rPr>
          <w:szCs w:val="21"/>
        </w:rPr>
        <w:t xml:space="preserve">3. </w:t>
      </w:r>
      <w:r>
        <w:rPr>
          <w:szCs w:val="21"/>
        </w:rPr>
        <w:t>学生所在学院学位</w:t>
      </w:r>
      <w:proofErr w:type="gramStart"/>
      <w:r>
        <w:rPr>
          <w:szCs w:val="21"/>
        </w:rPr>
        <w:t>评定分</w:t>
      </w:r>
      <w:proofErr w:type="gramEnd"/>
      <w:r>
        <w:rPr>
          <w:szCs w:val="21"/>
        </w:rPr>
        <w:t>委员会对学生所修读课程进行审查，认定学生所修课程可转换成所在专业培养方案中的具体课程及转换方式，并报研究生院</w:t>
      </w:r>
      <w:proofErr w:type="gramStart"/>
      <w:r>
        <w:rPr>
          <w:szCs w:val="21"/>
        </w:rPr>
        <w:t>培养办</w:t>
      </w:r>
      <w:proofErr w:type="gramEnd"/>
      <w:r>
        <w:rPr>
          <w:szCs w:val="21"/>
        </w:rPr>
        <w:t>备案。</w:t>
      </w:r>
    </w:p>
    <w:p w:rsidR="00B67A16" w:rsidRDefault="00B67A16" w:rsidP="00B67A16">
      <w:pPr>
        <w:topLinePunct/>
        <w:adjustRightInd w:val="0"/>
        <w:snapToGrid w:val="0"/>
        <w:spacing w:line="288" w:lineRule="auto"/>
        <w:ind w:firstLine="420"/>
        <w:rPr>
          <w:szCs w:val="21"/>
        </w:rPr>
      </w:pPr>
      <w:r>
        <w:rPr>
          <w:szCs w:val="21"/>
        </w:rPr>
        <w:t xml:space="preserve">4. </w:t>
      </w:r>
      <w:r>
        <w:rPr>
          <w:szCs w:val="21"/>
        </w:rPr>
        <w:t>申请及处理时间</w:t>
      </w:r>
    </w:p>
    <w:p w:rsidR="00B67A16" w:rsidRDefault="00B67A16" w:rsidP="00B67A16">
      <w:pPr>
        <w:topLinePunct/>
        <w:adjustRightInd w:val="0"/>
        <w:snapToGrid w:val="0"/>
        <w:spacing w:line="288" w:lineRule="auto"/>
        <w:ind w:firstLineChars="200" w:firstLine="420"/>
        <w:rPr>
          <w:szCs w:val="21"/>
        </w:rPr>
      </w:pPr>
      <w:r>
        <w:rPr>
          <w:szCs w:val="21"/>
        </w:rPr>
        <w:t>每学期学生申请成绩转换的截止时间是学生返校</w:t>
      </w:r>
      <w:proofErr w:type="gramStart"/>
      <w:r>
        <w:rPr>
          <w:szCs w:val="21"/>
        </w:rPr>
        <w:t>后当前</w:t>
      </w:r>
      <w:proofErr w:type="gramEnd"/>
      <w:r>
        <w:rPr>
          <w:szCs w:val="21"/>
        </w:rPr>
        <w:t>学期开学后第</w:t>
      </w:r>
      <w:r>
        <w:rPr>
          <w:szCs w:val="21"/>
        </w:rPr>
        <w:t>15</w:t>
      </w:r>
      <w:r>
        <w:rPr>
          <w:szCs w:val="21"/>
        </w:rPr>
        <w:t>周前，逾期不予办理。</w:t>
      </w:r>
    </w:p>
    <w:p w:rsidR="00B67A16" w:rsidRDefault="00B67A16" w:rsidP="00B67A16">
      <w:pPr>
        <w:topLinePunct/>
        <w:adjustRightInd w:val="0"/>
        <w:snapToGrid w:val="0"/>
        <w:spacing w:line="288" w:lineRule="auto"/>
        <w:ind w:firstLineChars="200" w:firstLine="420"/>
        <w:rPr>
          <w:szCs w:val="21"/>
        </w:rPr>
      </w:pPr>
      <w:r>
        <w:rPr>
          <w:szCs w:val="21"/>
        </w:rPr>
        <w:t>研究生院</w:t>
      </w:r>
      <w:proofErr w:type="gramStart"/>
      <w:r>
        <w:rPr>
          <w:szCs w:val="21"/>
        </w:rPr>
        <w:t>培养办</w:t>
      </w:r>
      <w:proofErr w:type="gramEnd"/>
      <w:r>
        <w:rPr>
          <w:szCs w:val="21"/>
        </w:rPr>
        <w:t>应在每学期结束前将转换后的成绩登录完毕，并将相关材料存档备查。</w:t>
      </w:r>
    </w:p>
    <w:p w:rsidR="00B67A16" w:rsidRDefault="00B67A16" w:rsidP="00B67A16">
      <w:pPr>
        <w:topLinePunct/>
        <w:adjustRightInd w:val="0"/>
        <w:snapToGrid w:val="0"/>
        <w:spacing w:line="288" w:lineRule="auto"/>
        <w:ind w:firstLineChars="200" w:firstLine="420"/>
        <w:rPr>
          <w:bCs/>
          <w:szCs w:val="21"/>
        </w:rPr>
      </w:pPr>
      <w:r>
        <w:rPr>
          <w:szCs w:val="21"/>
        </w:rPr>
        <w:t>本规定自</w:t>
      </w:r>
      <w:r>
        <w:rPr>
          <w:bCs/>
          <w:szCs w:val="21"/>
        </w:rPr>
        <w:t>公布之日起实施，由研究生院负责解释。</w:t>
      </w:r>
    </w:p>
    <w:p w:rsidR="009F3F34" w:rsidRPr="00B67A16" w:rsidRDefault="009F3F34"/>
    <w:sectPr w:rsidR="009F3F34" w:rsidRPr="00B67A16" w:rsidSect="009F3F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7A16"/>
    <w:rsid w:val="009F3F34"/>
    <w:rsid w:val="00B67A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A16"/>
    <w:pPr>
      <w:widowControl w:val="0"/>
      <w:jc w:val="both"/>
    </w:pPr>
    <w:rPr>
      <w:rFonts w:ascii="Times New Roman" w:eastAsia="宋体" w:hAnsi="Times New Roman" w:cs="Times New Roman"/>
    </w:rPr>
  </w:style>
  <w:style w:type="paragraph" w:styleId="1">
    <w:name w:val="heading 1"/>
    <w:basedOn w:val="a"/>
    <w:next w:val="a"/>
    <w:link w:val="1Char1"/>
    <w:qFormat/>
    <w:rsid w:val="00B67A16"/>
    <w:pPr>
      <w:keepNext/>
      <w:widowControl/>
      <w:topLinePunct/>
      <w:adjustRightInd w:val="0"/>
      <w:snapToGrid w:val="0"/>
      <w:spacing w:beforeLines="150" w:afterLines="150"/>
      <w:jc w:val="center"/>
      <w:outlineLvl w:val="0"/>
    </w:pPr>
    <w:rPr>
      <w:rFonts w:eastAsia="方正小标宋简体"/>
      <w:color w:val="000000"/>
      <w:sz w:val="32"/>
      <w:szCs w:val="32"/>
      <w:lang/>
    </w:rPr>
  </w:style>
  <w:style w:type="paragraph" w:styleId="2">
    <w:name w:val="heading 2"/>
    <w:basedOn w:val="a"/>
    <w:next w:val="a"/>
    <w:link w:val="2Char"/>
    <w:qFormat/>
    <w:rsid w:val="00B67A16"/>
    <w:pPr>
      <w:topLinePunct/>
      <w:adjustRightInd w:val="0"/>
      <w:snapToGrid w:val="0"/>
      <w:spacing w:beforeLines="100" w:afterLines="50" w:line="288" w:lineRule="auto"/>
      <w:jc w:val="center"/>
      <w:outlineLvl w:val="1"/>
    </w:pPr>
    <w:rPr>
      <w:rFonts w:eastAsia="黑体"/>
      <w:b/>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67A16"/>
    <w:rPr>
      <w:rFonts w:ascii="Times New Roman" w:eastAsia="宋体" w:hAnsi="Times New Roman" w:cs="Times New Roman"/>
      <w:b/>
      <w:bCs/>
      <w:kern w:val="44"/>
      <w:sz w:val="44"/>
      <w:szCs w:val="44"/>
    </w:rPr>
  </w:style>
  <w:style w:type="character" w:customStyle="1" w:styleId="2Char">
    <w:name w:val="标题 2 Char"/>
    <w:basedOn w:val="a0"/>
    <w:link w:val="2"/>
    <w:rsid w:val="00B67A16"/>
    <w:rPr>
      <w:rFonts w:ascii="Times New Roman" w:eastAsia="黑体" w:hAnsi="Times New Roman" w:cs="Times New Roman"/>
      <w:b/>
      <w:sz w:val="24"/>
      <w:szCs w:val="24"/>
      <w:lang/>
    </w:rPr>
  </w:style>
  <w:style w:type="character" w:customStyle="1" w:styleId="1Char1">
    <w:name w:val="标题 1 Char1"/>
    <w:link w:val="1"/>
    <w:locked/>
    <w:rsid w:val="00B67A16"/>
    <w:rPr>
      <w:rFonts w:ascii="Times New Roman" w:eastAsia="方正小标宋简体" w:hAnsi="Times New Roman" w:cs="Times New Roman"/>
      <w:color w:val="000000"/>
      <w:sz w:val="32"/>
      <w:szCs w:val="32"/>
      <w:lang/>
    </w:rPr>
  </w:style>
  <w:style w:type="paragraph" w:customStyle="1" w:styleId="a3">
    <w:name w:val="表题"/>
    <w:qFormat/>
    <w:rsid w:val="00B67A16"/>
    <w:pPr>
      <w:keepNext/>
      <w:topLinePunct/>
      <w:adjustRightInd w:val="0"/>
      <w:snapToGrid w:val="0"/>
      <w:spacing w:beforeLines="100" w:afterLines="50" w:line="288" w:lineRule="auto"/>
      <w:jc w:val="center"/>
    </w:pPr>
    <w:rPr>
      <w:rFonts w:ascii="Times New Roman" w:eastAsia="黑体" w:hAnsi="Times New Roman" w:cs="宋体"/>
      <w:szCs w:val="21"/>
    </w:rPr>
  </w:style>
  <w:style w:type="paragraph" w:styleId="a4">
    <w:name w:val="Balloon Text"/>
    <w:basedOn w:val="a"/>
    <w:link w:val="Char"/>
    <w:uiPriority w:val="99"/>
    <w:semiHidden/>
    <w:unhideWhenUsed/>
    <w:rsid w:val="00B67A16"/>
    <w:rPr>
      <w:sz w:val="18"/>
      <w:szCs w:val="18"/>
    </w:rPr>
  </w:style>
  <w:style w:type="character" w:customStyle="1" w:styleId="Char">
    <w:name w:val="批注框文本 Char"/>
    <w:basedOn w:val="a0"/>
    <w:link w:val="a4"/>
    <w:uiPriority w:val="99"/>
    <w:semiHidden/>
    <w:rsid w:val="00B67A1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774</Words>
  <Characters>4413</Characters>
  <Application>Microsoft Office Word</Application>
  <DocSecurity>0</DocSecurity>
  <Lines>36</Lines>
  <Paragraphs>10</Paragraphs>
  <ScaleCrop>false</ScaleCrop>
  <Company>Lenovo</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2024-04-03T02:19:00Z</dcterms:created>
  <dcterms:modified xsi:type="dcterms:W3CDTF">2024-04-03T02:19:00Z</dcterms:modified>
</cp:coreProperties>
</file>